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D830">
      <w:pPr>
        <w:spacing w:line="360" w:lineRule="auto"/>
        <w:rPr>
          <w:rFonts w:ascii="Times New Roman" w:hAnsi="Times New Roman"/>
          <w:sz w:val="24"/>
        </w:rPr>
      </w:pPr>
    </w:p>
    <w:p w14:paraId="13AF6B01">
      <w:pPr>
        <w:spacing w:line="360" w:lineRule="auto"/>
        <w:rPr>
          <w:rFonts w:ascii="Times New Roman" w:hAnsi="Times New Roman"/>
          <w:sz w:val="24"/>
        </w:rPr>
      </w:pPr>
      <w:r>
        <w:rPr>
          <w:rFonts w:ascii="Times New Roman" w:hAnsi="Times New Roman"/>
          <w:sz w:val="24"/>
        </w:rPr>
        <w:drawing>
          <wp:anchor distT="0" distB="0" distL="114300" distR="114300" simplePos="0" relativeHeight="251660288" behindDoc="0" locked="0" layoutInCell="1" allowOverlap="1">
            <wp:simplePos x="0" y="0"/>
            <wp:positionH relativeFrom="column">
              <wp:posOffset>4982845</wp:posOffset>
            </wp:positionH>
            <wp:positionV relativeFrom="paragraph">
              <wp:posOffset>166370</wp:posOffset>
            </wp:positionV>
            <wp:extent cx="1024890" cy="1013460"/>
            <wp:effectExtent l="0" t="0" r="3810" b="15240"/>
            <wp:wrapSquare wrapText="bothSides"/>
            <wp:docPr id="1" name="图片 3" descr="上海中医药学会标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上海中医药学会标志_副本"/>
                    <pic:cNvPicPr>
                      <a:picLocks noChangeAspect="1"/>
                    </pic:cNvPicPr>
                  </pic:nvPicPr>
                  <pic:blipFill>
                    <a:blip r:embed="rId16" cstate="print"/>
                    <a:stretch>
                      <a:fillRect/>
                    </a:stretch>
                  </pic:blipFill>
                  <pic:spPr>
                    <a:xfrm>
                      <a:off x="0" y="0"/>
                      <a:ext cx="1024890" cy="1013460"/>
                    </a:xfrm>
                    <a:prstGeom prst="rect">
                      <a:avLst/>
                    </a:prstGeom>
                    <a:noFill/>
                    <a:ln>
                      <a:noFill/>
                    </a:ln>
                  </pic:spPr>
                </pic:pic>
              </a:graphicData>
            </a:graphic>
          </wp:anchor>
        </w:drawing>
      </w:r>
    </w:p>
    <w:p w14:paraId="4BA8B65E">
      <w:pPr>
        <w:spacing w:line="360" w:lineRule="auto"/>
        <w:rPr>
          <w:rFonts w:hint="eastAsia" w:ascii="Times New Roman" w:hAnsi="Times New Roman"/>
          <w:sz w:val="24"/>
        </w:rPr>
      </w:pPr>
      <w:r>
        <w:rPr>
          <w:rFonts w:ascii="Times New Roman" w:hAnsi="Times New Roman"/>
          <w:sz w:val="24"/>
        </w:rPr>
        <w:t xml:space="preserve">      </w:t>
      </w:r>
      <w:r>
        <w:rPr>
          <w:rFonts w:hint="eastAsia" w:ascii="Times New Roman" w:hAnsi="Times New Roman"/>
          <w:sz w:val="24"/>
          <w:lang w:val="en-US" w:eastAsia="zh-CN"/>
        </w:rPr>
        <w:t xml:space="preserve">ICS </w:t>
      </w:r>
      <w:r>
        <w:rPr>
          <w:rFonts w:hint="eastAsia" w:ascii="Times New Roman" w:hAnsi="Times New Roman"/>
          <w:sz w:val="24"/>
        </w:rPr>
        <w:t>01.040.11</w:t>
      </w:r>
    </w:p>
    <w:p w14:paraId="2269060C">
      <w:pPr>
        <w:spacing w:line="360" w:lineRule="auto"/>
        <w:rPr>
          <w:rFonts w:hint="eastAsia" w:ascii="Times New Roman" w:hAnsi="Times New Roman" w:eastAsia="宋体"/>
          <w:color w:val="auto"/>
          <w:sz w:val="24"/>
          <w:lang w:eastAsia="zh-CN"/>
        </w:rPr>
      </w:pPr>
      <w:r>
        <w:rPr>
          <w:rFonts w:ascii="Times New Roman" w:hAnsi="Times New Roman"/>
          <w:color w:val="auto"/>
          <w:sz w:val="24"/>
        </w:rPr>
        <w:t xml:space="preserve">      </w:t>
      </w:r>
      <w:r>
        <w:rPr>
          <w:rFonts w:hint="eastAsia" w:ascii="Times New Roman" w:hAnsi="Times New Roman"/>
          <w:color w:val="auto"/>
          <w:sz w:val="24"/>
          <w:lang w:val="en-US" w:eastAsia="zh-CN"/>
        </w:rPr>
        <w:t xml:space="preserve">CCS </w:t>
      </w:r>
      <w:r>
        <w:rPr>
          <w:rFonts w:hint="eastAsia" w:ascii="Times New Roman" w:hAnsi="Times New Roman"/>
          <w:color w:val="auto"/>
          <w:sz w:val="24"/>
        </w:rPr>
        <w:t>C 0</w:t>
      </w:r>
      <w:r>
        <w:rPr>
          <w:rFonts w:hint="eastAsia" w:ascii="Times New Roman" w:hAnsi="Times New Roman"/>
          <w:color w:val="auto"/>
          <w:sz w:val="24"/>
          <w:lang w:val="en-US" w:eastAsia="zh-CN"/>
        </w:rPr>
        <w:t>5</w:t>
      </w:r>
    </w:p>
    <w:p w14:paraId="3219C24B">
      <w:pPr>
        <w:spacing w:line="360" w:lineRule="auto"/>
        <w:jc w:val="center"/>
        <w:rPr>
          <w:rFonts w:ascii="Times New Roman" w:hAnsi="Times New Roman"/>
          <w:sz w:val="44"/>
        </w:rPr>
      </w:pPr>
    </w:p>
    <w:p w14:paraId="213F791C">
      <w:pPr>
        <w:spacing w:line="360" w:lineRule="auto"/>
        <w:jc w:val="center"/>
        <w:rPr>
          <w:rFonts w:ascii="Times New Roman" w:hAnsi="Times New Roman"/>
          <w:b/>
          <w:bCs/>
          <w:sz w:val="48"/>
          <w:szCs w:val="24"/>
        </w:rPr>
      </w:pPr>
      <w:r>
        <w:rPr>
          <w:rFonts w:ascii="Times New Roman" w:hAnsi="Times New Roman"/>
          <w:b/>
          <w:bCs/>
          <w:sz w:val="48"/>
          <w:szCs w:val="24"/>
        </w:rPr>
        <w:t>团   体   标   准</w:t>
      </w:r>
    </w:p>
    <w:p w14:paraId="1B15F40D">
      <w:pPr>
        <w:spacing w:line="360" w:lineRule="auto"/>
        <w:rPr>
          <w:rFonts w:ascii="Times New Roman" w:hAnsi="Times New Roman"/>
          <w:sz w:val="24"/>
        </w:rPr>
      </w:pPr>
    </w:p>
    <w:p w14:paraId="34405823">
      <w:pPr>
        <w:spacing w:line="360" w:lineRule="auto"/>
        <w:ind w:right="840"/>
        <w:jc w:val="right"/>
        <w:rPr>
          <w:rFonts w:ascii="Times New Roman" w:hAnsi="Times New Roman"/>
          <w:sz w:val="24"/>
        </w:rPr>
      </w:pPr>
      <w:r>
        <w:rPr>
          <w:rFonts w:ascii="Times New Roman" w:hAnsi="Times New Roman"/>
          <w:sz w:val="24"/>
        </w:rPr>
        <w:t xml:space="preserve">T/SATCM </w:t>
      </w:r>
      <w:r>
        <w:rPr>
          <w:rFonts w:ascii="Segoe UI Symbol" w:hAnsi="Segoe UI Symbol" w:cs="Segoe UI Symbol"/>
          <w:sz w:val="18"/>
          <w:szCs w:val="18"/>
        </w:rPr>
        <w:t>╳╳╳</w:t>
      </w:r>
      <w:r>
        <w:rPr>
          <w:rFonts w:ascii="Times New Roman" w:hAnsi="Times New Roman"/>
          <w:sz w:val="24"/>
        </w:rPr>
        <w:t>-</w:t>
      </w:r>
      <w:r>
        <w:rPr>
          <w:rFonts w:ascii="Segoe UI Symbol" w:hAnsi="Segoe UI Symbol" w:cs="Segoe UI Symbol"/>
          <w:sz w:val="18"/>
          <w:szCs w:val="18"/>
        </w:rPr>
        <w:t>╳╳╳╳</w:t>
      </w:r>
    </w:p>
    <w:p w14:paraId="23820026">
      <w:pPr>
        <w:spacing w:line="360" w:lineRule="auto"/>
        <w:jc w:val="center"/>
        <w:rPr>
          <w:rFonts w:ascii="Times New Roman" w:hAnsi="Times New Roman"/>
          <w:sz w:val="28"/>
        </w:rPr>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74930</wp:posOffset>
                </wp:positionV>
                <wp:extent cx="5947410" cy="635"/>
                <wp:effectExtent l="0" t="4445" r="5715" b="8890"/>
                <wp:wrapNone/>
                <wp:docPr id="2" name="直线 10"/>
                <wp:cNvGraphicFramePr/>
                <a:graphic xmlns:a="http://schemas.openxmlformats.org/drawingml/2006/main">
                  <a:graphicData uri="http://schemas.microsoft.com/office/word/2010/wordprocessingShape">
                    <wps:wsp>
                      <wps:cNvCnPr/>
                      <wps:spPr>
                        <a:xfrm>
                          <a:off x="0" y="0"/>
                          <a:ext cx="59474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margin-left:24.65pt;margin-top:5.9pt;height:0.05pt;width:468.3pt;z-index:251659264;mso-width-relative:page;mso-height-relative:page;" filled="f" stroked="t" coordsize="21600,21600" o:gfxdata="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xql8dYAAAAI&#10;AQAADwAAAAAAAAABACAAAAAiAAAAZHJzL2Rvd25yZXYueG1sUEsBAhQAFAAAAAgAh07iQL+8dCvl&#10;AQAA4AMAAA4AAAAAAAAAAQAgAAAAJQEAAGRycy9lMm9Eb2MueG1sUEsFBgAAAAAGAAYAWQEAAHwF&#10;AAAAAA==&#10;">
                <v:fill on="f" focussize="0,0"/>
                <v:stroke color="#000000" joinstyle="round"/>
                <v:imagedata o:title=""/>
                <o:lock v:ext="edit" aspectratio="f"/>
              </v:line>
            </w:pict>
          </mc:Fallback>
        </mc:AlternateContent>
      </w:r>
    </w:p>
    <w:p w14:paraId="4D4C6594">
      <w:pPr>
        <w:spacing w:line="360" w:lineRule="auto"/>
        <w:jc w:val="center"/>
        <w:rPr>
          <w:rFonts w:ascii="Times New Roman" w:hAnsi="Times New Roman"/>
          <w:sz w:val="28"/>
        </w:rPr>
      </w:pPr>
    </w:p>
    <w:p w14:paraId="06E1CC51">
      <w:pPr>
        <w:spacing w:line="360" w:lineRule="auto"/>
        <w:jc w:val="center"/>
        <w:rPr>
          <w:rFonts w:ascii="Times New Roman" w:hAnsi="Times New Roman"/>
          <w:sz w:val="28"/>
        </w:rPr>
      </w:pPr>
    </w:p>
    <w:p w14:paraId="1F67E1F8">
      <w:pPr>
        <w:spacing w:line="360" w:lineRule="auto"/>
        <w:jc w:val="center"/>
        <w:rPr>
          <w:rFonts w:ascii="Times New Roman" w:hAnsi="Times New Roman" w:eastAsia="黑体"/>
          <w:b/>
          <w:bCs/>
          <w:sz w:val="48"/>
          <w:szCs w:val="40"/>
        </w:rPr>
      </w:pPr>
      <w:r>
        <w:rPr>
          <w:rFonts w:hint="eastAsia" w:ascii="Times New Roman" w:hAnsi="Times New Roman" w:eastAsia="黑体"/>
          <w:b/>
          <w:bCs/>
          <w:sz w:val="48"/>
          <w:szCs w:val="40"/>
        </w:rPr>
        <w:t>针灸治疗</w:t>
      </w:r>
      <w:r>
        <w:rPr>
          <w:rFonts w:ascii="Times New Roman" w:hAnsi="Times New Roman" w:eastAsia="黑体"/>
          <w:b/>
          <w:bCs/>
          <w:sz w:val="48"/>
          <w:szCs w:val="40"/>
        </w:rPr>
        <w:t>糖尿病周围神经病变</w:t>
      </w:r>
      <w:r>
        <w:rPr>
          <w:rFonts w:hint="eastAsia" w:ascii="Times New Roman" w:hAnsi="Times New Roman" w:eastAsia="黑体"/>
          <w:b/>
          <w:bCs/>
          <w:sz w:val="48"/>
          <w:szCs w:val="40"/>
        </w:rPr>
        <w:t>专家共识</w:t>
      </w:r>
    </w:p>
    <w:p w14:paraId="6F54B6D1">
      <w:pPr>
        <w:spacing w:line="360" w:lineRule="auto"/>
        <w:jc w:val="center"/>
        <w:rPr>
          <w:rFonts w:ascii="Times New Roman" w:hAnsi="Times New Roman" w:eastAsia="黑体"/>
          <w:color w:val="000000"/>
          <w:sz w:val="24"/>
          <w:szCs w:val="24"/>
        </w:rPr>
      </w:pPr>
      <w:r>
        <w:rPr>
          <w:rFonts w:hint="eastAsia" w:ascii="Times New Roman" w:hAnsi="Times New Roman" w:eastAsia="黑体"/>
          <w:color w:val="000000"/>
          <w:sz w:val="24"/>
          <w:szCs w:val="24"/>
        </w:rPr>
        <w:t xml:space="preserve">Expert </w:t>
      </w:r>
      <w:r>
        <w:rPr>
          <w:rFonts w:ascii="Times New Roman" w:hAnsi="Times New Roman" w:eastAsia="黑体"/>
          <w:color w:val="000000"/>
          <w:sz w:val="24"/>
          <w:szCs w:val="24"/>
        </w:rPr>
        <w:t xml:space="preserve">Consensus for Acupuncture Treatment </w:t>
      </w:r>
      <w:r>
        <w:rPr>
          <w:rFonts w:hint="eastAsia" w:ascii="Times New Roman" w:hAnsi="Times New Roman" w:eastAsia="黑体"/>
          <w:color w:val="000000"/>
          <w:sz w:val="24"/>
          <w:szCs w:val="24"/>
        </w:rPr>
        <w:t>on</w:t>
      </w:r>
      <w:r>
        <w:rPr>
          <w:rFonts w:ascii="Times New Roman" w:hAnsi="Times New Roman" w:eastAsia="黑体"/>
          <w:color w:val="000000"/>
          <w:sz w:val="24"/>
          <w:szCs w:val="24"/>
        </w:rPr>
        <w:t xml:space="preserve"> Diabetic Peripheral Neuropathy</w:t>
      </w:r>
    </w:p>
    <w:p w14:paraId="1FF653F5">
      <w:pPr>
        <w:spacing w:line="360" w:lineRule="auto"/>
        <w:jc w:val="center"/>
        <w:rPr>
          <w:rFonts w:ascii="Times New Roman" w:hAnsi="Times New Roman"/>
          <w:color w:val="000000"/>
          <w:sz w:val="22"/>
          <w:szCs w:val="28"/>
        </w:rPr>
      </w:pPr>
      <w:r>
        <w:rPr>
          <w:rFonts w:ascii="Times New Roman" w:hAnsi="Times New Roman"/>
          <w:color w:val="000000"/>
          <w:sz w:val="22"/>
          <w:szCs w:val="28"/>
        </w:rPr>
        <w:t>（文件类型：</w:t>
      </w:r>
      <w:r>
        <w:rPr>
          <w:rFonts w:hint="eastAsia" w:ascii="Times New Roman" w:hAnsi="Times New Roman"/>
          <w:color w:val="000000"/>
          <w:sz w:val="22"/>
          <w:szCs w:val="28"/>
          <w:lang w:val="en-US" w:eastAsia="zh-CN"/>
        </w:rPr>
        <w:t>公示稿</w:t>
      </w:r>
      <w:r>
        <w:rPr>
          <w:rFonts w:ascii="Times New Roman" w:hAnsi="Times New Roman"/>
          <w:color w:val="000000"/>
          <w:sz w:val="22"/>
          <w:szCs w:val="28"/>
        </w:rPr>
        <w:t>）</w:t>
      </w:r>
    </w:p>
    <w:p w14:paraId="47FFA45D">
      <w:pPr>
        <w:spacing w:line="360" w:lineRule="auto"/>
        <w:jc w:val="center"/>
        <w:rPr>
          <w:rFonts w:ascii="Times New Roman" w:hAnsi="Times New Roman"/>
          <w:sz w:val="28"/>
        </w:rPr>
      </w:pPr>
    </w:p>
    <w:p w14:paraId="35514CC4">
      <w:pPr>
        <w:spacing w:line="360" w:lineRule="auto"/>
        <w:rPr>
          <w:rFonts w:ascii="Times New Roman" w:hAnsi="Times New Roman"/>
          <w:sz w:val="24"/>
        </w:rPr>
      </w:pPr>
    </w:p>
    <w:p w14:paraId="53531E19">
      <w:pPr>
        <w:spacing w:line="360" w:lineRule="auto"/>
        <w:rPr>
          <w:rFonts w:ascii="Times New Roman" w:hAnsi="Times New Roman"/>
          <w:sz w:val="24"/>
        </w:rPr>
      </w:pPr>
      <w:bookmarkStart w:id="38" w:name="_GoBack"/>
      <w:bookmarkEnd w:id="38"/>
    </w:p>
    <w:p w14:paraId="36B6921B">
      <w:pPr>
        <w:spacing w:line="360" w:lineRule="auto"/>
        <w:rPr>
          <w:rFonts w:ascii="Times New Roman" w:hAnsi="Times New Roman"/>
          <w:sz w:val="24"/>
        </w:rPr>
      </w:pPr>
    </w:p>
    <w:p w14:paraId="150FD44D">
      <w:pPr>
        <w:spacing w:line="360" w:lineRule="auto"/>
        <w:rPr>
          <w:rFonts w:ascii="Times New Roman" w:hAnsi="Times New Roman"/>
          <w:sz w:val="24"/>
        </w:rPr>
      </w:pPr>
    </w:p>
    <w:p w14:paraId="1B50542F">
      <w:pPr>
        <w:spacing w:line="360" w:lineRule="auto"/>
        <w:rPr>
          <w:rFonts w:ascii="Times New Roman" w:hAnsi="Times New Roman"/>
          <w:sz w:val="24"/>
        </w:rPr>
      </w:pPr>
    </w:p>
    <w:p w14:paraId="73BA4A1D">
      <w:pPr>
        <w:spacing w:line="360" w:lineRule="auto"/>
        <w:rPr>
          <w:rFonts w:ascii="Times New Roman" w:hAnsi="Times New Roman"/>
          <w:sz w:val="24"/>
        </w:rPr>
      </w:pPr>
    </w:p>
    <w:p w14:paraId="4CBA3FD5">
      <w:pPr>
        <w:spacing w:line="360" w:lineRule="auto"/>
        <w:ind w:firstLine="540" w:firstLineChars="300"/>
        <w:jc w:val="left"/>
        <w:rPr>
          <w:rFonts w:ascii="Times New Roman" w:hAnsi="Times New Roman"/>
          <w:sz w:val="28"/>
        </w:rPr>
      </w:pPr>
      <w:r>
        <w:rPr>
          <w:rFonts w:ascii="Segoe UI Symbol" w:hAnsi="Segoe UI Symbol" w:cs="Segoe UI Symbol"/>
          <w:sz w:val="18"/>
          <w:szCs w:val="18"/>
        </w:rPr>
        <w:t>╳╳╳╳</w:t>
      </w:r>
      <w:r>
        <w:rPr>
          <w:rFonts w:ascii="Times New Roman" w:hAnsi="Times New Roman"/>
          <w:sz w:val="28"/>
        </w:rPr>
        <w:t>-</w:t>
      </w:r>
      <w:r>
        <w:rPr>
          <w:rFonts w:ascii="Segoe UI Symbol" w:hAnsi="Segoe UI Symbol" w:cs="Segoe UI Symbol"/>
          <w:sz w:val="18"/>
          <w:szCs w:val="18"/>
        </w:rPr>
        <w:t>╳╳</w:t>
      </w:r>
      <w:r>
        <w:rPr>
          <w:rFonts w:ascii="Times New Roman" w:hAnsi="Times New Roman"/>
          <w:sz w:val="28"/>
        </w:rPr>
        <w:t>-</w:t>
      </w:r>
      <w:r>
        <w:rPr>
          <w:rFonts w:ascii="Segoe UI Symbol" w:hAnsi="Segoe UI Symbol" w:cs="Segoe UI Symbol"/>
          <w:sz w:val="18"/>
          <w:szCs w:val="18"/>
        </w:rPr>
        <w:t>╳╳</w:t>
      </w:r>
      <w:r>
        <w:rPr>
          <w:rFonts w:ascii="Times New Roman" w:hAnsi="Times New Roman"/>
          <w:sz w:val="28"/>
        </w:rPr>
        <w:t xml:space="preserve">发布                                </w:t>
      </w:r>
      <w:r>
        <w:rPr>
          <w:rFonts w:ascii="Segoe UI Symbol" w:hAnsi="Segoe UI Symbol" w:cs="Segoe UI Symbol"/>
          <w:sz w:val="18"/>
          <w:szCs w:val="18"/>
        </w:rPr>
        <w:t>╳╳╳╳</w:t>
      </w:r>
      <w:r>
        <w:rPr>
          <w:rFonts w:ascii="Times New Roman" w:hAnsi="Times New Roman"/>
          <w:sz w:val="28"/>
        </w:rPr>
        <w:t>-</w:t>
      </w:r>
      <w:r>
        <w:rPr>
          <w:rFonts w:ascii="Segoe UI Symbol" w:hAnsi="Segoe UI Symbol" w:cs="Segoe UI Symbol"/>
          <w:sz w:val="18"/>
          <w:szCs w:val="18"/>
        </w:rPr>
        <w:t>╳╳</w:t>
      </w:r>
      <w:r>
        <w:rPr>
          <w:rFonts w:ascii="Times New Roman" w:hAnsi="Times New Roman"/>
          <w:sz w:val="28"/>
        </w:rPr>
        <w:t>-</w:t>
      </w:r>
      <w:r>
        <w:rPr>
          <w:rFonts w:ascii="Segoe UI Symbol" w:hAnsi="Segoe UI Symbol" w:cs="Segoe UI Symbol"/>
          <w:sz w:val="18"/>
          <w:szCs w:val="18"/>
        </w:rPr>
        <w:t>╳╳</w:t>
      </w:r>
      <w:r>
        <w:rPr>
          <w:rFonts w:ascii="Times New Roman" w:hAnsi="Times New Roman"/>
          <w:sz w:val="28"/>
        </w:rPr>
        <w:t>实施</w:t>
      </w:r>
    </w:p>
    <w:p w14:paraId="202FAD9D">
      <w:pPr>
        <w:spacing w:line="360" w:lineRule="auto"/>
        <w:jc w:val="center"/>
        <w:rPr>
          <w:rFonts w:ascii="Times New Roman" w:hAnsi="Times New Roman" w:eastAsia="黑体"/>
          <w:sz w:val="32"/>
          <w:szCs w:val="24"/>
        </w:rPr>
      </w:pPr>
      <w:r>
        <w:rPr>
          <w:rFonts w:ascii="Times New Roman" w:hAnsi="Times New Roman"/>
          <w:sz w:val="28"/>
        </w:rPr>
        <mc:AlternateContent>
          <mc:Choice Requires="wps">
            <w:drawing>
              <wp:anchor distT="0" distB="0" distL="114300" distR="114300" simplePos="0" relativeHeight="251660288" behindDoc="0" locked="0" layoutInCell="1" allowOverlap="1">
                <wp:simplePos x="0" y="0"/>
                <wp:positionH relativeFrom="column">
                  <wp:posOffset>313055</wp:posOffset>
                </wp:positionH>
                <wp:positionV relativeFrom="paragraph">
                  <wp:posOffset>74930</wp:posOffset>
                </wp:positionV>
                <wp:extent cx="5947410" cy="635"/>
                <wp:effectExtent l="0" t="4445" r="5715" b="8890"/>
                <wp:wrapNone/>
                <wp:docPr id="3" name="直线 11"/>
                <wp:cNvGraphicFramePr/>
                <a:graphic xmlns:a="http://schemas.openxmlformats.org/drawingml/2006/main">
                  <a:graphicData uri="http://schemas.microsoft.com/office/word/2010/wordprocessingShape">
                    <wps:wsp>
                      <wps:cNvCnPr/>
                      <wps:spPr>
                        <a:xfrm>
                          <a:off x="0" y="0"/>
                          <a:ext cx="59474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 o:spid="_x0000_s1026" o:spt="20" style="position:absolute;left:0pt;margin-left:24.65pt;margin-top:5.9pt;height:0.05pt;width:468.3pt;z-index:251660288;mso-width-relative:page;mso-height-relative:page;" filled="f" stroked="t" coordsize="21600,21600" o:gfxdata="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GqXx1gAA&#10;AAgBAAAPAAAAAAAAAAEAIAAAACIAAABkcnMvZG93bnJldi54bWxQSwECFAAUAAAACACHTuJAkcNe&#10;IecBAADgAwAADgAAAAAAAAABACAAAAAlAQAAZHJzL2Uyb0RvYy54bWxQSwUGAAAAAAYABgBZAQAA&#10;fgUAAAAA&#10;">
                <v:fill on="f" focussize="0,0"/>
                <v:stroke color="#000000" joinstyle="round"/>
                <v:imagedata o:title=""/>
                <o:lock v:ext="edit" aspectratio="f"/>
              </v:line>
            </w:pict>
          </mc:Fallback>
        </mc:AlternateContent>
      </w:r>
    </w:p>
    <w:p w14:paraId="602434B4">
      <w:pPr>
        <w:spacing w:line="360" w:lineRule="auto"/>
        <w:jc w:val="center"/>
        <w:rPr>
          <w:rFonts w:ascii="Times New Roman" w:hAnsi="Times New Roman" w:eastAsia="黑体"/>
          <w:sz w:val="32"/>
          <w:szCs w:val="24"/>
        </w:rPr>
      </w:pPr>
      <w:r>
        <w:rPr>
          <w:rFonts w:ascii="Times New Roman" w:hAnsi="Times New Roman" w:eastAsia="黑体"/>
          <w:sz w:val="32"/>
          <w:szCs w:val="24"/>
        </w:rPr>
        <w:t>上海市中医药学会发布</w:t>
      </w:r>
    </w:p>
    <w:p w14:paraId="6806C0F8">
      <w:pPr>
        <w:spacing w:line="360" w:lineRule="auto"/>
        <w:rPr>
          <w:rFonts w:ascii="Times New Roman" w:hAnsi="Times New Roman"/>
          <w:sz w:val="28"/>
        </w:rPr>
      </w:pPr>
    </w:p>
    <w:p w14:paraId="6625D34B">
      <w:pPr>
        <w:spacing w:line="360" w:lineRule="auto"/>
        <w:rPr>
          <w:rFonts w:ascii="Times New Roman" w:hAnsi="Times New Roman"/>
          <w:sz w:val="28"/>
        </w:rPr>
        <w:sectPr>
          <w:headerReference r:id="rId7" w:type="first"/>
          <w:footerReference r:id="rId10" w:type="first"/>
          <w:headerReference r:id="rId5" w:type="default"/>
          <w:footerReference r:id="rId8" w:type="default"/>
          <w:headerReference r:id="rId6" w:type="even"/>
          <w:footerReference r:id="rId9" w:type="even"/>
          <w:pgSz w:w="11906" w:h="16838"/>
          <w:pgMar w:top="1100" w:right="1009" w:bottom="1100" w:left="952" w:header="851" w:footer="992" w:gutter="0"/>
          <w:cols w:space="720" w:num="1"/>
          <w:docGrid w:type="lines" w:linePitch="312" w:charSpace="0"/>
        </w:sectPr>
      </w:pPr>
    </w:p>
    <w:p w14:paraId="5427BEFC">
      <w:pPr>
        <w:pStyle w:val="25"/>
        <w:rPr>
          <w:rFonts w:ascii="Times New Roman"/>
        </w:rPr>
      </w:pPr>
      <w:bookmarkStart w:id="0" w:name="_Toc191387487"/>
      <w:bookmarkStart w:id="1" w:name="_Toc17442"/>
      <w:bookmarkStart w:id="2" w:name="_Toc510534525"/>
      <w:bookmarkStart w:id="3" w:name="_Toc11958"/>
      <w:bookmarkStart w:id="4" w:name="_Toc509933846"/>
      <w:r>
        <w:rPr>
          <w:rFonts w:ascii="Times New Roman"/>
        </w:rPr>
        <w:t>目</w:t>
      </w:r>
      <w:bookmarkStart w:id="5" w:name="BKML"/>
      <w:r>
        <w:rPr>
          <w:rFonts w:ascii="Times New Roman"/>
        </w:rPr>
        <w:t> 次</w:t>
      </w:r>
      <w:bookmarkEnd w:id="0"/>
      <w:bookmarkEnd w:id="1"/>
      <w:bookmarkEnd w:id="2"/>
      <w:bookmarkEnd w:id="3"/>
      <w:bookmarkEnd w:id="4"/>
      <w:bookmarkEnd w:id="5"/>
    </w:p>
    <w:p w14:paraId="6EC2AD81">
      <w:pPr>
        <w:pStyle w:val="11"/>
        <w:tabs>
          <w:tab w:val="right" w:leader="dot" w:pos="8306"/>
        </w:tabs>
        <w:spacing w:line="300" w:lineRule="auto"/>
        <w:rPr>
          <w:rFonts w:ascii="Times New Roman" w:hAnsi="Times New Roman"/>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"_Toc19297" </w:instrText>
      </w:r>
      <w:r>
        <w:fldChar w:fldCharType="separate"/>
      </w:r>
      <w:r>
        <w:rPr>
          <w:rFonts w:ascii="Times New Roman" w:hAnsi="Times New Roman"/>
        </w:rPr>
        <w:t>前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_Toc19297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14:paraId="2AAFE845">
      <w:pPr>
        <w:pStyle w:val="11"/>
        <w:tabs>
          <w:tab w:val="right" w:leader="dot" w:pos="8306"/>
        </w:tabs>
        <w:spacing w:line="300" w:lineRule="auto"/>
        <w:rPr>
          <w:rFonts w:ascii="Times New Roman" w:hAnsi="Times New Roman"/>
        </w:rPr>
      </w:pPr>
      <w:r>
        <w:fldChar w:fldCharType="begin"/>
      </w:r>
      <w:r>
        <w:instrText xml:space="preserve"> HYPERLINK \l "_Toc7854" </w:instrText>
      </w:r>
      <w:r>
        <w:fldChar w:fldCharType="separate"/>
      </w:r>
      <w:r>
        <w:rPr>
          <w:rFonts w:ascii="Times New Roman" w:hAnsi="Times New Roman"/>
        </w:rPr>
        <w:t>引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_Toc7854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9C5B9F4">
      <w:pPr>
        <w:pStyle w:val="11"/>
        <w:tabs>
          <w:tab w:val="right" w:leader="dot" w:pos="8306"/>
        </w:tabs>
        <w:spacing w:line="300" w:lineRule="auto"/>
        <w:rPr>
          <w:rFonts w:ascii="Times New Roman" w:hAnsi="Times New Roman"/>
        </w:rPr>
      </w:pPr>
      <w:r>
        <w:fldChar w:fldCharType="begin"/>
      </w:r>
      <w:r>
        <w:instrText xml:space="preserve"> HYPERLINK \l "_Toc12749" </w:instrText>
      </w:r>
      <w:r>
        <w:fldChar w:fldCharType="separate"/>
      </w:r>
      <w:r>
        <w:rPr>
          <w:rFonts w:ascii="Times New Roman" w:hAnsi="Times New Roman" w:eastAsia="黑体"/>
          <w:szCs w:val="21"/>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_Toc12749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A783B7F">
      <w:pPr>
        <w:pStyle w:val="11"/>
        <w:tabs>
          <w:tab w:val="right" w:leader="dot" w:pos="8306"/>
        </w:tabs>
        <w:spacing w:line="300" w:lineRule="auto"/>
        <w:rPr>
          <w:rFonts w:ascii="Times New Roman" w:hAnsi="Times New Roman"/>
        </w:rPr>
      </w:pPr>
      <w:r>
        <w:fldChar w:fldCharType="begin"/>
      </w:r>
      <w:r>
        <w:instrText xml:space="preserve"> HYPERLINK \l "_Toc30346" </w:instrText>
      </w:r>
      <w:r>
        <w:fldChar w:fldCharType="separate"/>
      </w:r>
      <w:r>
        <w:rPr>
          <w:rFonts w:ascii="Times New Roman" w:hAnsi="Times New Roman" w:eastAsia="黑体"/>
          <w:szCs w:val="21"/>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_Toc30346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A77604F">
      <w:pPr>
        <w:pStyle w:val="11"/>
        <w:tabs>
          <w:tab w:val="right" w:leader="dot" w:pos="8306"/>
        </w:tabs>
        <w:spacing w:line="300" w:lineRule="auto"/>
        <w:rPr>
          <w:rFonts w:ascii="Times New Roman" w:hAnsi="Times New Roman"/>
        </w:rPr>
      </w:pPr>
      <w:r>
        <w:fldChar w:fldCharType="begin"/>
      </w:r>
      <w:r>
        <w:instrText xml:space="preserve"> HYPERLINK \l "_Toc32374" </w:instrText>
      </w:r>
      <w:r>
        <w:fldChar w:fldCharType="separate"/>
      </w:r>
      <w:r>
        <w:rPr>
          <w:rFonts w:ascii="Times New Roman" w:hAnsi="Times New Roman" w:eastAsia="黑体"/>
          <w:szCs w:val="21"/>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_Toc32374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5162B34">
      <w:pPr>
        <w:pStyle w:val="11"/>
        <w:tabs>
          <w:tab w:val="right" w:leader="dot" w:pos="8306"/>
        </w:tabs>
        <w:spacing w:line="300" w:lineRule="auto"/>
        <w:rPr>
          <w:rFonts w:ascii="Times New Roman" w:hAnsi="Times New Roman"/>
        </w:rPr>
      </w:pPr>
      <w:r>
        <w:fldChar w:fldCharType="begin"/>
      </w:r>
      <w:r>
        <w:instrText xml:space="preserve"> HYPERLINK \l "_Toc13048" </w:instrText>
      </w:r>
      <w:r>
        <w:fldChar w:fldCharType="separate"/>
      </w:r>
      <w:r>
        <w:rPr>
          <w:rFonts w:ascii="Times New Roman" w:hAnsi="Times New Roman" w:eastAsia="黑体"/>
          <w:szCs w:val="21"/>
        </w:rPr>
        <w:t xml:space="preserve">4 </w:t>
      </w:r>
      <w:r>
        <w:rPr>
          <w:rFonts w:ascii="Times New Roman" w:hAnsi="Times New Roman"/>
        </w:rPr>
        <w:t>诊断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_Toc13048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89430DF">
      <w:pPr>
        <w:pStyle w:val="11"/>
        <w:tabs>
          <w:tab w:val="right" w:leader="dot" w:pos="8306"/>
        </w:tabs>
        <w:spacing w:line="300" w:lineRule="auto"/>
        <w:rPr>
          <w:rFonts w:ascii="Times New Roman" w:hAnsi="Times New Roman"/>
        </w:rPr>
      </w:pPr>
      <w:r>
        <w:fldChar w:fldCharType="begin"/>
      </w:r>
      <w:r>
        <w:instrText xml:space="preserve"> HYPERLINK \l "_Toc1173" </w:instrText>
      </w:r>
      <w:r>
        <w:fldChar w:fldCharType="separate"/>
      </w:r>
      <w:r>
        <w:rPr>
          <w:rFonts w:ascii="Times New Roman" w:hAnsi="Times New Roman" w:eastAsia="黑体"/>
          <w:szCs w:val="21"/>
        </w:rPr>
        <w:t xml:space="preserve">5 </w:t>
      </w:r>
      <w:r>
        <w:rPr>
          <w:rFonts w:ascii="Times New Roman" w:hAnsi="Times New Roman"/>
        </w:rPr>
        <w:t>经络辨证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96BA3D4">
      <w:pPr>
        <w:pStyle w:val="11"/>
        <w:tabs>
          <w:tab w:val="right" w:leader="dot" w:pos="8306"/>
        </w:tabs>
        <w:spacing w:line="300" w:lineRule="auto"/>
        <w:rPr>
          <w:rFonts w:ascii="Times New Roman" w:hAnsi="Times New Roman"/>
        </w:rPr>
      </w:pPr>
      <w:r>
        <w:fldChar w:fldCharType="begin"/>
      </w:r>
      <w:r>
        <w:instrText xml:space="preserve"> HYPERLINK \l "_Toc1667" </w:instrText>
      </w:r>
      <w:r>
        <w:fldChar w:fldCharType="separate"/>
      </w:r>
      <w:r>
        <w:rPr>
          <w:rFonts w:ascii="Times New Roman" w:hAnsi="Times New Roman" w:eastAsia="黑体"/>
          <w:szCs w:val="21"/>
        </w:rPr>
        <w:t xml:space="preserve">6 </w:t>
      </w:r>
      <w:r>
        <w:rPr>
          <w:rFonts w:ascii="Times New Roman" w:hAnsi="Times New Roman"/>
        </w:rPr>
        <w:t>针灸治疗方案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2615473">
      <w:pPr>
        <w:pStyle w:val="11"/>
        <w:tabs>
          <w:tab w:val="right" w:leader="dot" w:pos="8306"/>
        </w:tabs>
        <w:spacing w:line="300" w:lineRule="auto"/>
        <w:rPr>
          <w:rFonts w:ascii="Times New Roman" w:hAnsi="Times New Roman"/>
        </w:rPr>
      </w:pPr>
      <w:r>
        <w:fldChar w:fldCharType="begin"/>
      </w:r>
      <w:r>
        <w:instrText xml:space="preserve"> HYPERLINK \l "_Toc4055" </w:instrText>
      </w:r>
      <w:r>
        <w:fldChar w:fldCharType="separate"/>
      </w:r>
      <w:r>
        <w:rPr>
          <w:rFonts w:ascii="Times New Roman" w:hAnsi="Times New Roman" w:eastAsia="黑体"/>
          <w:szCs w:val="21"/>
        </w:rPr>
        <w:t xml:space="preserve">7 </w:t>
      </w:r>
      <w:r>
        <w:rPr>
          <w:rFonts w:ascii="Times New Roman" w:hAnsi="Times New Roman"/>
        </w:rPr>
        <w:t>疗效评价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_Toc4055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7E1A0E8">
      <w:pPr>
        <w:pStyle w:val="11"/>
        <w:tabs>
          <w:tab w:val="right" w:leader="dot" w:pos="8306"/>
        </w:tabs>
        <w:spacing w:line="300" w:lineRule="auto"/>
        <w:rPr>
          <w:rFonts w:ascii="Times New Roman" w:hAnsi="Times New Roman"/>
        </w:rPr>
      </w:pPr>
      <w:r>
        <w:fldChar w:fldCharType="begin"/>
      </w:r>
      <w:r>
        <w:instrText xml:space="preserve"> HYPERLINK \l "_Toc11314" </w:instrText>
      </w:r>
      <w:r>
        <w:fldChar w:fldCharType="separate"/>
      </w:r>
      <w:r>
        <w:rPr>
          <w:rFonts w:ascii="Times New Roman" w:hAnsi="Times New Roman" w:eastAsia="黑体"/>
          <w:szCs w:val="21"/>
        </w:rPr>
        <w:t xml:space="preserve">8 </w:t>
      </w:r>
      <w:r>
        <w:rPr>
          <w:rFonts w:ascii="Times New Roman" w:hAnsi="Times New Roman"/>
        </w:rPr>
        <w:t>异常情况处理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_Toc11314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73D1ADA4">
      <w:pPr>
        <w:pStyle w:val="11"/>
        <w:tabs>
          <w:tab w:val="right" w:leader="dot" w:pos="8306"/>
        </w:tabs>
        <w:spacing w:line="300" w:lineRule="auto"/>
        <w:rPr>
          <w:rFonts w:ascii="Times New Roman" w:hAnsi="Times New Roman"/>
        </w:rPr>
      </w:pPr>
      <w:r>
        <w:fldChar w:fldCharType="begin"/>
      </w:r>
      <w:r>
        <w:instrText xml:space="preserve"> HYPERLINK \l "_Toc15627" </w:instrText>
      </w:r>
      <w:r>
        <w:fldChar w:fldCharType="separate"/>
      </w:r>
      <w:r>
        <w:rPr>
          <w:rFonts w:ascii="Times New Roman" w:hAnsi="Times New Roman" w:eastAsia="黑体"/>
          <w:szCs w:val="21"/>
        </w:rPr>
        <w:t xml:space="preserve">9 </w:t>
      </w:r>
      <w:r>
        <w:rPr>
          <w:rFonts w:ascii="Times New Roman" w:hAnsi="Times New Roman"/>
        </w:rPr>
        <w:t>注意事项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_Toc15627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1DE62FA5">
      <w:pPr>
        <w:pStyle w:val="11"/>
        <w:tabs>
          <w:tab w:val="right" w:leader="dot" w:pos="8306"/>
        </w:tabs>
        <w:spacing w:line="300" w:lineRule="auto"/>
        <w:rPr>
          <w:rFonts w:ascii="Times New Roman" w:hAnsi="Times New Roman"/>
        </w:rPr>
      </w:pPr>
      <w:r>
        <w:fldChar w:fldCharType="begin"/>
      </w:r>
      <w:r>
        <w:instrText xml:space="preserve"> HYPERLINK \l "_Toc27632" </w:instrText>
      </w:r>
      <w:r>
        <w:fldChar w:fldCharType="separate"/>
      </w:r>
      <w:r>
        <w:rPr>
          <w:rFonts w:ascii="Times New Roman" w:hAnsi="Times New Roman" w:eastAsia="黑体"/>
          <w:szCs w:val="21"/>
        </w:rPr>
        <w:t xml:space="preserve">10 </w:t>
      </w:r>
      <w:r>
        <w:rPr>
          <w:rFonts w:ascii="Times New Roman" w:hAnsi="Times New Roman"/>
        </w:rPr>
        <w:t>禁忌症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_Toc27632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39BFD56">
      <w:pPr>
        <w:pStyle w:val="11"/>
        <w:tabs>
          <w:tab w:val="right" w:leader="dot" w:pos="8306"/>
        </w:tabs>
        <w:spacing w:line="300" w:lineRule="auto"/>
        <w:rPr>
          <w:rFonts w:ascii="Times New Roman" w:hAnsi="Times New Roman"/>
        </w:rPr>
      </w:pPr>
      <w:r>
        <w:fldChar w:fldCharType="begin"/>
      </w:r>
      <w:r>
        <w:instrText xml:space="preserve"> HYPERLINK \l "_Toc16739" </w:instrText>
      </w:r>
      <w:r>
        <w:fldChar w:fldCharType="separate"/>
      </w:r>
      <w:r>
        <w:rPr>
          <w:rFonts w:ascii="Times New Roman" w:hAnsi="Times New Roman" w:eastAsia="黑体"/>
          <w:kern w:val="0"/>
          <w:szCs w:val="21"/>
        </w:rPr>
        <w:t>附 录 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_Toc16739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5AAADBB">
      <w:pPr>
        <w:pStyle w:val="11"/>
        <w:tabs>
          <w:tab w:val="right" w:leader="dot" w:pos="8306"/>
        </w:tabs>
        <w:spacing w:line="300" w:lineRule="auto"/>
        <w:rPr>
          <w:rFonts w:ascii="Times New Roman" w:hAnsi="Times New Roman"/>
        </w:rPr>
      </w:pPr>
      <w:r>
        <w:fldChar w:fldCharType="begin"/>
      </w:r>
      <w:r>
        <w:instrText xml:space="preserve"> HYPERLINK \l "_Toc18256" </w:instrText>
      </w:r>
      <w:r>
        <w:fldChar w:fldCharType="separate"/>
      </w:r>
      <w:r>
        <w:rPr>
          <w:rFonts w:ascii="Times New Roman" w:hAnsi="Times New Roman"/>
          <w:szCs w:val="21"/>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_Toc18256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0D51EBB5">
      <w:pPr>
        <w:spacing w:line="300" w:lineRule="auto"/>
        <w:rPr>
          <w:rFonts w:ascii="Times New Roman" w:hAnsi="Times New Roman"/>
        </w:rPr>
      </w:pPr>
      <w:r>
        <w:rPr>
          <w:rFonts w:ascii="Times New Roman" w:hAnsi="Times New Roman"/>
        </w:rPr>
        <w:fldChar w:fldCharType="end"/>
      </w:r>
    </w:p>
    <w:p w14:paraId="0C083E6B">
      <w:pPr>
        <w:spacing w:line="360" w:lineRule="auto"/>
        <w:rPr>
          <w:rFonts w:ascii="Times New Roman" w:hAnsi="Times New Roman"/>
          <w:sz w:val="24"/>
        </w:rPr>
        <w:sectPr>
          <w:footerReference r:id="rId11" w:type="default"/>
          <w:pgSz w:w="11906" w:h="16838"/>
          <w:pgMar w:top="1440" w:right="1800" w:bottom="1440" w:left="1800" w:header="851" w:footer="992" w:gutter="0"/>
          <w:cols w:space="720" w:num="1"/>
          <w:docGrid w:type="lines" w:linePitch="312" w:charSpace="0"/>
        </w:sectPr>
      </w:pPr>
    </w:p>
    <w:p w14:paraId="29095EA5">
      <w:pPr>
        <w:pStyle w:val="25"/>
        <w:rPr>
          <w:rFonts w:ascii="Times New Roman"/>
        </w:rPr>
      </w:pPr>
      <w:bookmarkStart w:id="6" w:name="_Toc19297"/>
      <w:r>
        <w:rPr>
          <w:rFonts w:ascii="Times New Roman"/>
        </w:rPr>
        <w:t>前  言</w:t>
      </w:r>
      <w:bookmarkEnd w:id="6"/>
    </w:p>
    <w:p w14:paraId="67809656">
      <w:pPr>
        <w:pStyle w:val="26"/>
        <w:spacing w:line="360" w:lineRule="exact"/>
        <w:ind w:firstLine="420"/>
        <w:rPr>
          <w:rFonts w:ascii="Times New Roman"/>
        </w:rPr>
      </w:pPr>
      <w:r>
        <w:rPr>
          <w:rFonts w:ascii="Times New Roman"/>
        </w:rPr>
        <w:t>本文件参照GB/T1.1—2020《标准化工作导则 第1部分：标准化文件的结构和起草规则》的规定起草。</w:t>
      </w:r>
    </w:p>
    <w:p w14:paraId="4B145C80">
      <w:pPr>
        <w:pStyle w:val="26"/>
        <w:spacing w:line="360" w:lineRule="exact"/>
        <w:ind w:firstLine="420"/>
        <w:rPr>
          <w:rFonts w:ascii="Times New Roman"/>
        </w:rPr>
      </w:pPr>
      <w:r>
        <w:rPr>
          <w:rFonts w:ascii="Times New Roman"/>
        </w:rPr>
        <w:t>请注意本文件的某些内容可能涉及专利。本文件的发布机构不承担识别专利的责任。</w:t>
      </w:r>
    </w:p>
    <w:p w14:paraId="672D6C9F">
      <w:pPr>
        <w:pStyle w:val="26"/>
        <w:spacing w:line="360" w:lineRule="exact"/>
        <w:ind w:firstLine="420"/>
        <w:rPr>
          <w:rFonts w:ascii="Times New Roman"/>
        </w:rPr>
      </w:pPr>
      <w:r>
        <w:rPr>
          <w:rFonts w:ascii="Times New Roman"/>
        </w:rPr>
        <w:t>本文件由上海中医药大学附属龙华医院提出。</w:t>
      </w:r>
    </w:p>
    <w:p w14:paraId="54ACEC99">
      <w:pPr>
        <w:pStyle w:val="26"/>
        <w:spacing w:line="360" w:lineRule="exact"/>
        <w:ind w:firstLine="420"/>
        <w:rPr>
          <w:rFonts w:ascii="Times New Roman"/>
        </w:rPr>
      </w:pPr>
      <w:r>
        <w:rPr>
          <w:rFonts w:ascii="Times New Roman"/>
        </w:rPr>
        <w:t>本文件由上海市中医药学会归口。</w:t>
      </w:r>
    </w:p>
    <w:p w14:paraId="08FD8573">
      <w:pPr>
        <w:pStyle w:val="26"/>
        <w:spacing w:line="360" w:lineRule="exact"/>
        <w:ind w:firstLine="420"/>
        <w:rPr>
          <w:rFonts w:ascii="Times New Roman"/>
        </w:rPr>
      </w:pPr>
      <w:r>
        <w:rPr>
          <w:rFonts w:ascii="Times New Roman"/>
        </w:rPr>
        <w:t>本文件起草单位：</w:t>
      </w:r>
      <w:r>
        <w:rPr>
          <w:rFonts w:hint="eastAsia" w:ascii="Times New Roman"/>
        </w:rPr>
        <w:t>上海中医药大学附属龙华医院、上海中医药大学附属曙光医院、上海市中西医结合医院、上海中医药大学、中日友好医院、上海交通大学医学院附属新华医院、上海中医药大学附属岳阳中西医结合医院、上海市中医医院、复旦大学附属华东医院、上海市针灸经络研究所、上海市奉贤区中医医院。</w:t>
      </w:r>
    </w:p>
    <w:p w14:paraId="00F5346B">
      <w:pPr>
        <w:pStyle w:val="26"/>
        <w:spacing w:line="360" w:lineRule="exact"/>
        <w:ind w:firstLine="420"/>
        <w:rPr>
          <w:rFonts w:ascii="Times New Roman"/>
        </w:rPr>
      </w:pPr>
      <w:r>
        <w:rPr>
          <w:rFonts w:ascii="Times New Roman"/>
        </w:rPr>
        <w:t>本文件主要起草人：</w:t>
      </w:r>
      <w:r>
        <w:rPr>
          <w:rFonts w:hint="eastAsia" w:ascii="Times New Roman"/>
        </w:rPr>
        <w:t>裴建、陆灏、曹烨民、唐学章、邓海平、马柯、许华、王开强、郑拥军、傅勤慧、杨华、刘慧荣。</w:t>
      </w:r>
    </w:p>
    <w:p w14:paraId="0578249C">
      <w:pPr>
        <w:pStyle w:val="26"/>
        <w:spacing w:line="360" w:lineRule="exact"/>
        <w:ind w:firstLine="420"/>
        <w:rPr>
          <w:rFonts w:ascii="Times New Roman"/>
          <w:sz w:val="24"/>
        </w:rPr>
      </w:pPr>
      <w:r>
        <w:rPr>
          <w:rFonts w:ascii="Times New Roman"/>
        </w:rPr>
        <w:t>本文件其它起草人：</w:t>
      </w:r>
      <w:r>
        <w:rPr>
          <w:rFonts w:hint="eastAsia" w:ascii="Times New Roman"/>
        </w:rPr>
        <w:t>宋毅、徐佳、詹逸珺、严佳、王毅</w:t>
      </w:r>
      <w:r>
        <w:rPr>
          <w:rFonts w:hint="eastAsia" w:ascii="Times New Roman"/>
          <w:sz w:val="24"/>
        </w:rPr>
        <w:t>。</w:t>
      </w:r>
    </w:p>
    <w:p w14:paraId="1676F93C">
      <w:pPr>
        <w:pStyle w:val="25"/>
        <w:rPr>
          <w:rFonts w:ascii="Times New Roman"/>
        </w:rPr>
      </w:pPr>
      <w:r>
        <w:rPr>
          <w:rFonts w:ascii="Times New Roman"/>
        </w:rPr>
        <w:br w:type="page"/>
      </w:r>
    </w:p>
    <w:p w14:paraId="4CDDA22F">
      <w:pPr>
        <w:pStyle w:val="25"/>
        <w:rPr>
          <w:rFonts w:ascii="Times New Roman"/>
        </w:rPr>
      </w:pPr>
      <w:bookmarkStart w:id="7" w:name="_Toc7854"/>
      <w:r>
        <w:rPr>
          <w:rFonts w:ascii="Times New Roman"/>
        </w:rPr>
        <w:t>引  言</w:t>
      </w:r>
      <w:bookmarkEnd w:id="7"/>
    </w:p>
    <w:p w14:paraId="6DA3D04B">
      <w:pPr>
        <w:pStyle w:val="26"/>
        <w:spacing w:line="360" w:lineRule="exact"/>
        <w:ind w:firstLine="420"/>
        <w:rPr>
          <w:rFonts w:hint="eastAsia" w:ascii="Times New Roman"/>
          <w:szCs w:val="21"/>
        </w:rPr>
      </w:pPr>
      <w:r>
        <w:rPr>
          <w:rFonts w:hint="eastAsia" w:ascii="Times New Roman"/>
          <w:szCs w:val="21"/>
        </w:rPr>
        <w:t>糖尿病周围神经病变（Diabetic Peripheral Neuropathy, DPN），即</w:t>
      </w:r>
      <w:r>
        <w:rPr>
          <w:rFonts w:hint="eastAsia" w:ascii="Times New Roman"/>
        </w:rPr>
        <w:t>糖尿病</w:t>
      </w:r>
      <w:r>
        <w:rPr>
          <w:rFonts w:hint="eastAsia" w:ascii="Times New Roman"/>
          <w:szCs w:val="21"/>
        </w:rPr>
        <w:t>远端对称性多发性神经病变（</w:t>
      </w:r>
      <w:r>
        <w:rPr>
          <w:rFonts w:ascii="Times New Roman"/>
          <w:szCs w:val="21"/>
        </w:rPr>
        <w:t>Distal Symmetric Polyneuropathy, DSPN</w:t>
      </w:r>
      <w:r>
        <w:rPr>
          <w:rFonts w:hint="eastAsia" w:ascii="Times New Roman"/>
          <w:szCs w:val="21"/>
        </w:rPr>
        <w:t>），在我国2型糖尿病</w:t>
      </w:r>
      <w:r>
        <w:rPr>
          <w:rFonts w:ascii="Times New Roman"/>
          <w:szCs w:val="21"/>
        </w:rPr>
        <w:t>患者</w:t>
      </w:r>
      <w:r>
        <w:rPr>
          <w:rFonts w:hint="eastAsia" w:ascii="Times New Roman"/>
          <w:szCs w:val="21"/>
        </w:rPr>
        <w:t>中的</w:t>
      </w:r>
      <w:r>
        <w:rPr>
          <w:rFonts w:ascii="Times New Roman"/>
          <w:szCs w:val="21"/>
        </w:rPr>
        <w:t>患病率高达67.6%，</w:t>
      </w:r>
      <w:r>
        <w:rPr>
          <w:rFonts w:hint="eastAsia" w:ascii="Times New Roman"/>
          <w:szCs w:val="21"/>
        </w:rPr>
        <w:t>其中合并痛性DSPN的比例为57.2%，严重影响患者的生活质量。其临床特征为对称性多发性感觉神经病变，以双下肢疼痛、麻木、感觉异常为主。</w:t>
      </w:r>
    </w:p>
    <w:p w14:paraId="407ACAAD">
      <w:pPr>
        <w:pStyle w:val="26"/>
        <w:spacing w:line="360" w:lineRule="exact"/>
        <w:ind w:firstLine="420"/>
        <w:rPr>
          <w:rFonts w:ascii="Times New Roman"/>
          <w:szCs w:val="21"/>
        </w:rPr>
      </w:pPr>
      <w:r>
        <w:rPr>
          <w:rFonts w:hint="eastAsia" w:ascii="Times New Roman"/>
          <w:szCs w:val="21"/>
        </w:rPr>
        <w:t>针灸在糖尿病周围神经病变的治疗上具有一定优势，尤其是改善疼痛、麻木、感觉迟钝等临床症状，具有良好的耐受性和安全性</w:t>
      </w:r>
      <w:r>
        <w:rPr>
          <w:rFonts w:ascii="Times New Roman"/>
          <w:szCs w:val="21"/>
        </w:rPr>
        <w:t>。</w:t>
      </w:r>
      <w:r>
        <w:rPr>
          <w:rFonts w:hint="eastAsia" w:ascii="Times New Roman"/>
          <w:szCs w:val="21"/>
        </w:rPr>
        <w:t>一般采用的</w:t>
      </w:r>
      <w:r>
        <w:rPr>
          <w:rFonts w:ascii="Times New Roman"/>
          <w:szCs w:val="21"/>
        </w:rPr>
        <w:t>治疗方法包括针刺疗法、灸法、穴位注射疗法等</w:t>
      </w:r>
      <w:r>
        <w:rPr>
          <w:rFonts w:hint="eastAsia" w:ascii="Times New Roman"/>
          <w:szCs w:val="21"/>
        </w:rPr>
        <w:t>。遵循针灸辨经络的原则，</w:t>
      </w:r>
      <w:r>
        <w:rPr>
          <w:rFonts w:ascii="Times New Roman"/>
          <w:szCs w:val="21"/>
        </w:rPr>
        <w:t>根据经络辨证采用不同的</w:t>
      </w:r>
      <w:r>
        <w:rPr>
          <w:rFonts w:hint="eastAsia" w:ascii="Times New Roman"/>
          <w:szCs w:val="21"/>
        </w:rPr>
        <w:t>针刺</w:t>
      </w:r>
      <w:r>
        <w:rPr>
          <w:rFonts w:ascii="Times New Roman"/>
          <w:szCs w:val="21"/>
        </w:rPr>
        <w:t>方案，</w:t>
      </w:r>
      <w:r>
        <w:rPr>
          <w:rFonts w:hint="eastAsia" w:ascii="Times New Roman"/>
          <w:szCs w:val="21"/>
        </w:rPr>
        <w:t>可进一步提升临床疗效。</w:t>
      </w:r>
    </w:p>
    <w:p w14:paraId="41BE2B62">
      <w:pPr>
        <w:pStyle w:val="26"/>
        <w:spacing w:line="360" w:lineRule="exact"/>
        <w:ind w:firstLine="420"/>
        <w:rPr>
          <w:rFonts w:ascii="Times New Roman" w:eastAsiaTheme="majorEastAsia"/>
          <w:color w:val="212121"/>
          <w:sz w:val="24"/>
          <w:szCs w:val="24"/>
          <w:shd w:val="clear" w:color="auto" w:fill="FFFFFF"/>
        </w:rPr>
      </w:pPr>
      <w:r>
        <w:rPr>
          <w:rFonts w:ascii="Times New Roman"/>
          <w:szCs w:val="21"/>
        </w:rPr>
        <w:t>本</w:t>
      </w:r>
      <w:r>
        <w:rPr>
          <w:rFonts w:hint="eastAsia" w:ascii="Times New Roman"/>
          <w:szCs w:val="21"/>
        </w:rPr>
        <w:t>文件</w:t>
      </w:r>
      <w:r>
        <w:rPr>
          <w:rFonts w:ascii="Times New Roman"/>
          <w:szCs w:val="21"/>
        </w:rPr>
        <w:t>旨在确立普遍适用于糖尿病周围神经病变的针灸技术操作</w:t>
      </w:r>
      <w:r>
        <w:rPr>
          <w:rFonts w:hint="eastAsia" w:ascii="Times New Roman"/>
          <w:szCs w:val="21"/>
        </w:rPr>
        <w:t>规范</w:t>
      </w:r>
      <w:r>
        <w:rPr>
          <w:rFonts w:ascii="Times New Roman"/>
          <w:color w:val="000000"/>
          <w:szCs w:val="21"/>
        </w:rPr>
        <w:t>。</w:t>
      </w:r>
    </w:p>
    <w:p w14:paraId="35A8E8FD">
      <w:pPr>
        <w:pStyle w:val="25"/>
        <w:spacing w:before="0" w:after="0" w:line="360" w:lineRule="exact"/>
        <w:ind w:right="1136" w:rightChars="541"/>
        <w:rPr>
          <w:rFonts w:ascii="Times New Roman"/>
        </w:rPr>
      </w:pPr>
      <w:r>
        <w:rPr>
          <w:rFonts w:ascii="Times New Roman"/>
        </w:rPr>
        <w:br w:type="page"/>
      </w:r>
    </w:p>
    <w:p w14:paraId="6D4430D6">
      <w:pPr>
        <w:pStyle w:val="25"/>
        <w:spacing w:before="0" w:after="0" w:line="360" w:lineRule="exact"/>
        <w:ind w:right="1136" w:rightChars="541"/>
        <w:rPr>
          <w:rFonts w:ascii="Times New Roman"/>
        </w:rPr>
        <w:sectPr>
          <w:headerReference r:id="rId12" w:type="default"/>
          <w:footerReference r:id="rId13" w:type="default"/>
          <w:pgSz w:w="11906" w:h="16838"/>
          <w:pgMar w:top="1440" w:right="1800" w:bottom="1440" w:left="1800" w:header="851" w:footer="992" w:gutter="0"/>
          <w:pgNumType w:fmt="upperRoman" w:start="1"/>
          <w:cols w:space="720" w:num="1"/>
          <w:docGrid w:type="linesAndChars" w:linePitch="312" w:charSpace="0"/>
        </w:sectPr>
      </w:pPr>
    </w:p>
    <w:p w14:paraId="25635321">
      <w:pPr>
        <w:pStyle w:val="25"/>
        <w:spacing w:before="0" w:after="0" w:line="360" w:lineRule="exact"/>
        <w:ind w:right="-92" w:rightChars="-44"/>
        <w:outlineLvl w:val="9"/>
        <w:rPr>
          <w:rFonts w:ascii="Times New Roman"/>
          <w:szCs w:val="32"/>
        </w:rPr>
      </w:pPr>
      <w:r>
        <w:rPr>
          <w:rFonts w:hint="eastAsia" w:ascii="Times New Roman"/>
        </w:rPr>
        <w:t>针灸治疗糖尿病周围神经病变专家共识</w:t>
      </w:r>
    </w:p>
    <w:p w14:paraId="6E78CE56">
      <w:pPr>
        <w:pStyle w:val="27"/>
        <w:numPr>
          <w:ilvl w:val="0"/>
          <w:numId w:val="2"/>
        </w:numPr>
        <w:spacing w:before="312" w:beforeLines="100" w:after="312" w:afterLines="100"/>
        <w:outlineLvl w:val="0"/>
        <w:rPr>
          <w:rFonts w:ascii="Times New Roman" w:hAnsi="Times New Roman"/>
        </w:rPr>
      </w:pPr>
      <w:bookmarkStart w:id="8" w:name="_Toc12749"/>
      <w:bookmarkStart w:id="9" w:name="_Toc459720143"/>
      <w:bookmarkStart w:id="10" w:name="_Toc459704603"/>
      <w:bookmarkStart w:id="11" w:name="_Toc459724774"/>
      <w:bookmarkStart w:id="12" w:name="_Toc509933849"/>
      <w:bookmarkStart w:id="13" w:name="_Toc510534528"/>
      <w:r>
        <w:rPr>
          <w:rFonts w:ascii="Times New Roman" w:hAnsi="Times New Roman"/>
        </w:rPr>
        <w:t>范围</w:t>
      </w:r>
      <w:bookmarkEnd w:id="8"/>
      <w:bookmarkEnd w:id="9"/>
      <w:bookmarkEnd w:id="10"/>
      <w:bookmarkEnd w:id="11"/>
      <w:bookmarkEnd w:id="12"/>
      <w:bookmarkEnd w:id="13"/>
    </w:p>
    <w:p w14:paraId="2B909FAC">
      <w:pPr>
        <w:pStyle w:val="26"/>
        <w:spacing w:line="360" w:lineRule="exact"/>
        <w:ind w:firstLine="420"/>
        <w:rPr>
          <w:rFonts w:ascii="Times New Roman"/>
        </w:rPr>
      </w:pPr>
      <w:bookmarkStart w:id="14" w:name="_Toc459724775"/>
      <w:bookmarkStart w:id="15" w:name="_Toc459704604"/>
      <w:bookmarkStart w:id="16" w:name="_Toc459720144"/>
      <w:r>
        <w:rPr>
          <w:rFonts w:ascii="Times New Roman"/>
        </w:rPr>
        <w:t>本文件</w:t>
      </w:r>
      <w:r>
        <w:rPr>
          <w:rFonts w:hint="eastAsia" w:ascii="Times New Roman"/>
        </w:rPr>
        <w:t>提出</w:t>
      </w:r>
      <w:r>
        <w:rPr>
          <w:rFonts w:ascii="Times New Roman"/>
        </w:rPr>
        <w:t>了糖尿病周围神经病变的</w:t>
      </w:r>
      <w:r>
        <w:rPr>
          <w:rFonts w:hint="eastAsia" w:ascii="Times New Roman"/>
        </w:rPr>
        <w:t>诊断、</w:t>
      </w:r>
      <w:r>
        <w:rPr>
          <w:rFonts w:ascii="Times New Roman"/>
        </w:rPr>
        <w:t>经络辨证、针灸治疗的穴位选择及定位、操作流程、</w:t>
      </w:r>
      <w:r>
        <w:rPr>
          <w:rFonts w:hint="eastAsia" w:ascii="Times New Roman"/>
        </w:rPr>
        <w:t>疗效评价、</w:t>
      </w:r>
      <w:r>
        <w:rPr>
          <w:rFonts w:ascii="Times New Roman"/>
        </w:rPr>
        <w:t>异常情况处理、注意事项和禁忌</w:t>
      </w:r>
      <w:r>
        <w:rPr>
          <w:rFonts w:hint="eastAsia" w:ascii="Times New Roman"/>
        </w:rPr>
        <w:t>症</w:t>
      </w:r>
      <w:r>
        <w:rPr>
          <w:rFonts w:ascii="Times New Roman"/>
        </w:rPr>
        <w:t>。</w:t>
      </w:r>
    </w:p>
    <w:p w14:paraId="664A48A6">
      <w:pPr>
        <w:pStyle w:val="26"/>
        <w:spacing w:line="360" w:lineRule="exact"/>
        <w:ind w:firstLine="420"/>
        <w:rPr>
          <w:rFonts w:ascii="Times New Roman"/>
        </w:rPr>
      </w:pPr>
      <w:r>
        <w:rPr>
          <w:rFonts w:ascii="Times New Roman"/>
        </w:rPr>
        <w:t>本文件适用于</w:t>
      </w:r>
      <w:r>
        <w:rPr>
          <w:rFonts w:hint="eastAsia" w:ascii="Times New Roman"/>
        </w:rPr>
        <w:t>中医、中西医结合专科医生、中医全科医生针对</w:t>
      </w:r>
      <w:r>
        <w:rPr>
          <w:rFonts w:ascii="Times New Roman"/>
        </w:rPr>
        <w:t>糖尿病周围神经病变的针灸治疗。</w:t>
      </w:r>
    </w:p>
    <w:p w14:paraId="4AD1E6DD">
      <w:pPr>
        <w:pStyle w:val="27"/>
        <w:numPr>
          <w:ilvl w:val="0"/>
          <w:numId w:val="2"/>
        </w:numPr>
        <w:spacing w:before="312" w:beforeLines="100" w:after="312" w:afterLines="100"/>
        <w:outlineLvl w:val="0"/>
        <w:rPr>
          <w:rFonts w:ascii="Times New Roman" w:hAnsi="Times New Roman"/>
        </w:rPr>
      </w:pPr>
      <w:bookmarkStart w:id="17" w:name="_Toc510534529"/>
      <w:bookmarkStart w:id="18" w:name="_Toc509933850"/>
      <w:bookmarkStart w:id="19" w:name="_Toc30346"/>
      <w:r>
        <w:rPr>
          <w:rFonts w:ascii="Times New Roman" w:hAnsi="Times New Roman"/>
        </w:rPr>
        <w:t>规范性引用文件</w:t>
      </w:r>
      <w:bookmarkEnd w:id="14"/>
      <w:bookmarkEnd w:id="15"/>
      <w:bookmarkEnd w:id="16"/>
      <w:bookmarkEnd w:id="17"/>
      <w:bookmarkEnd w:id="18"/>
      <w:bookmarkEnd w:id="19"/>
    </w:p>
    <w:p w14:paraId="71928EF7">
      <w:pPr>
        <w:pStyle w:val="26"/>
        <w:tabs>
          <w:tab w:val="center" w:pos="4201"/>
          <w:tab w:val="right" w:leader="dot" w:pos="9298"/>
        </w:tabs>
        <w:spacing w:line="360" w:lineRule="exact"/>
        <w:ind w:firstLine="420"/>
        <w:rPr>
          <w:rFonts w:ascii="Times New Roman"/>
          <w:color w:val="000000"/>
        </w:rPr>
      </w:pPr>
      <w:bookmarkStart w:id="20" w:name="_Toc459704605"/>
      <w:bookmarkEnd w:id="20"/>
      <w:r>
        <w:rPr>
          <w:rFonts w:ascii="Times New Roman"/>
          <w:color w:val="000000"/>
        </w:rPr>
        <w:t>下列文件对本文件的应用是必不可少的。凡是注日期的引用文件，仅注日期的版本适用于本文件。凡是不注日期的引用文件，其最新版本（包括所有的修改单）适用于本文件。</w:t>
      </w:r>
    </w:p>
    <w:p w14:paraId="1E837C0A">
      <w:pPr>
        <w:pStyle w:val="26"/>
        <w:tabs>
          <w:tab w:val="center" w:pos="4201"/>
          <w:tab w:val="right" w:leader="dot" w:pos="9298"/>
        </w:tabs>
        <w:spacing w:line="360" w:lineRule="exact"/>
        <w:ind w:firstLine="420"/>
        <w:rPr>
          <w:rFonts w:ascii="Times New Roman"/>
          <w:color w:val="000000"/>
        </w:rPr>
      </w:pPr>
      <w:r>
        <w:rPr>
          <w:rFonts w:hint="eastAsia" w:ascii="Times New Roman"/>
          <w:color w:val="000000"/>
        </w:rPr>
        <w:t>GB/Y12346-2021 经穴名称与定位</w:t>
      </w:r>
    </w:p>
    <w:p w14:paraId="353A4B19">
      <w:pPr>
        <w:pStyle w:val="26"/>
        <w:tabs>
          <w:tab w:val="center" w:pos="4201"/>
          <w:tab w:val="right" w:leader="dot" w:pos="9298"/>
        </w:tabs>
        <w:spacing w:line="360" w:lineRule="exact"/>
        <w:ind w:firstLine="420"/>
        <w:rPr>
          <w:rFonts w:ascii="Times New Roman"/>
          <w:color w:val="000000"/>
        </w:rPr>
      </w:pPr>
      <w:r>
        <w:rPr>
          <w:rFonts w:ascii="Times New Roman"/>
          <w:color w:val="000000"/>
        </w:rPr>
        <w:t>GB/T 21709.20-2009 针灸技术操作规范 第20部分：毫针基本刺法</w:t>
      </w:r>
    </w:p>
    <w:p w14:paraId="185FD228">
      <w:pPr>
        <w:pStyle w:val="26"/>
        <w:tabs>
          <w:tab w:val="center" w:pos="4201"/>
          <w:tab w:val="right" w:leader="dot" w:pos="9298"/>
        </w:tabs>
        <w:spacing w:line="360" w:lineRule="exact"/>
        <w:ind w:firstLine="420"/>
        <w:rPr>
          <w:rFonts w:ascii="Times New Roman"/>
          <w:color w:val="000000"/>
        </w:rPr>
      </w:pPr>
      <w:r>
        <w:rPr>
          <w:rFonts w:ascii="Times New Roman"/>
          <w:color w:val="000000"/>
        </w:rPr>
        <w:t>GB/T 21709.1-2008  针灸技术操作规范 第1部分 艾灸</w:t>
      </w:r>
    </w:p>
    <w:p w14:paraId="2F0DF45E">
      <w:pPr>
        <w:pStyle w:val="26"/>
        <w:tabs>
          <w:tab w:val="center" w:pos="4201"/>
          <w:tab w:val="right" w:leader="dot" w:pos="9298"/>
        </w:tabs>
        <w:spacing w:line="360" w:lineRule="exact"/>
        <w:ind w:firstLine="420"/>
        <w:rPr>
          <w:rFonts w:ascii="Times New Roman"/>
          <w:color w:val="000000"/>
        </w:rPr>
      </w:pPr>
      <w:r>
        <w:rPr>
          <w:rFonts w:ascii="Times New Roman"/>
          <w:color w:val="000000"/>
        </w:rPr>
        <w:t>GB/T 21709.6-2008  针灸技术操作规范 第6部分 穴位注射</w:t>
      </w:r>
    </w:p>
    <w:p w14:paraId="45647797">
      <w:pPr>
        <w:pStyle w:val="26"/>
        <w:tabs>
          <w:tab w:val="center" w:pos="4201"/>
          <w:tab w:val="right" w:leader="dot" w:pos="9298"/>
        </w:tabs>
        <w:spacing w:line="360" w:lineRule="exact"/>
        <w:ind w:firstLine="420"/>
        <w:rPr>
          <w:rFonts w:ascii="Times New Roman"/>
          <w:color w:val="000000"/>
        </w:rPr>
      </w:pPr>
      <w:r>
        <w:rPr>
          <w:rFonts w:ascii="Times New Roman"/>
          <w:color w:val="000000"/>
        </w:rPr>
        <w:t>GB/T 33415</w:t>
      </w:r>
      <w:r>
        <w:rPr>
          <w:rFonts w:hint="eastAsia" w:ascii="Times New Roman"/>
          <w:color w:val="000000"/>
        </w:rPr>
        <w:t>-2016</w:t>
      </w:r>
      <w:r>
        <w:rPr>
          <w:rFonts w:ascii="Times New Roman"/>
          <w:color w:val="000000"/>
        </w:rPr>
        <w:t xml:space="preserve"> 针灸异常情况处理</w:t>
      </w:r>
    </w:p>
    <w:p w14:paraId="3A4CB399">
      <w:pPr>
        <w:pStyle w:val="27"/>
        <w:numPr>
          <w:ilvl w:val="0"/>
          <w:numId w:val="2"/>
        </w:numPr>
        <w:spacing w:before="312" w:beforeLines="100" w:after="312" w:afterLines="100"/>
        <w:outlineLvl w:val="0"/>
        <w:rPr>
          <w:rFonts w:ascii="Times New Roman" w:hAnsi="Times New Roman"/>
        </w:rPr>
      </w:pPr>
      <w:bookmarkStart w:id="21" w:name="_Toc509933851"/>
      <w:bookmarkStart w:id="22" w:name="_Toc32374"/>
      <w:bookmarkStart w:id="23" w:name="_Toc510534530"/>
      <w:bookmarkStart w:id="24" w:name="_Toc436205037"/>
      <w:r>
        <w:rPr>
          <w:rFonts w:ascii="Times New Roman" w:hAnsi="Times New Roman"/>
        </w:rPr>
        <w:t>术语和定义</w:t>
      </w:r>
      <w:bookmarkEnd w:id="21"/>
      <w:bookmarkEnd w:id="22"/>
      <w:bookmarkEnd w:id="23"/>
      <w:bookmarkEnd w:id="24"/>
    </w:p>
    <w:p w14:paraId="2B92C2F5">
      <w:pPr>
        <w:pStyle w:val="26"/>
        <w:spacing w:line="360" w:lineRule="exact"/>
        <w:ind w:firstLine="420"/>
        <w:rPr>
          <w:rFonts w:ascii="Times New Roman"/>
        </w:rPr>
      </w:pPr>
      <w:bookmarkStart w:id="25" w:name="_Hlk92788667"/>
      <w:r>
        <w:rPr>
          <w:rFonts w:ascii="Times New Roman"/>
        </w:rPr>
        <w:t>下列术语和定义适用于本文件。</w:t>
      </w:r>
    </w:p>
    <w:bookmarkEnd w:id="25"/>
    <w:p w14:paraId="384E0AB2">
      <w:pPr>
        <w:pStyle w:val="26"/>
        <w:spacing w:line="360" w:lineRule="exact"/>
        <w:ind w:firstLine="0" w:firstLineChars="0"/>
        <w:rPr>
          <w:rFonts w:ascii="Times New Roman" w:eastAsia="黑体"/>
        </w:rPr>
      </w:pPr>
      <w:r>
        <w:rPr>
          <w:rFonts w:ascii="Times New Roman" w:eastAsia="黑体"/>
        </w:rPr>
        <w:t>3.1</w:t>
      </w:r>
    </w:p>
    <w:p w14:paraId="24FD1267">
      <w:pPr>
        <w:pStyle w:val="26"/>
        <w:spacing w:line="360" w:lineRule="exact"/>
        <w:ind w:firstLine="420"/>
        <w:rPr>
          <w:rFonts w:ascii="Times New Roman" w:eastAsia="黑体"/>
        </w:rPr>
      </w:pPr>
      <w:r>
        <w:rPr>
          <w:rFonts w:ascii="Times New Roman" w:eastAsia="黑体"/>
        </w:rPr>
        <w:t>糖尿病周围神经病变 diabetic peripheral neuropathy</w:t>
      </w:r>
    </w:p>
    <w:p w14:paraId="1BB7B4B0">
      <w:pPr>
        <w:pStyle w:val="26"/>
        <w:spacing w:line="360" w:lineRule="exact"/>
        <w:ind w:firstLine="420"/>
        <w:rPr>
          <w:rFonts w:ascii="Times New Roman"/>
        </w:rPr>
      </w:pPr>
      <w:r>
        <w:rPr>
          <w:rFonts w:ascii="Times New Roman"/>
        </w:rPr>
        <w:t>排除其他原因的情况下，糖尿病患者出现周围神经功能障碍相关的症状和（或）体征，常见症状为肢体麻木、疼痛、灼热或其他异常感觉。属于中医消渴病痹症范畴。</w:t>
      </w:r>
    </w:p>
    <w:p w14:paraId="719B9169">
      <w:pPr>
        <w:pStyle w:val="27"/>
        <w:numPr>
          <w:ilvl w:val="0"/>
          <w:numId w:val="2"/>
        </w:numPr>
        <w:spacing w:before="312" w:beforeLines="100" w:after="312" w:afterLines="100" w:line="360" w:lineRule="exact"/>
        <w:outlineLvl w:val="0"/>
        <w:rPr>
          <w:rFonts w:ascii="Times New Roman" w:hAnsi="Times New Roman"/>
        </w:rPr>
      </w:pPr>
      <w:bookmarkStart w:id="26" w:name="_Toc13048"/>
      <w:r>
        <w:rPr>
          <w:rFonts w:ascii="Times New Roman" w:hAnsi="Times New Roman"/>
        </w:rPr>
        <w:t>诊断</w:t>
      </w:r>
      <w:bookmarkEnd w:id="26"/>
    </w:p>
    <w:p w14:paraId="7826624D">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诊断标准</w:t>
      </w:r>
    </w:p>
    <w:p w14:paraId="7396193C">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参照中华医学会《中国糖尿病防治指南（</w:t>
      </w:r>
      <w:r>
        <w:rPr>
          <w:rFonts w:ascii="Times New Roman"/>
          <w:color w:val="333333"/>
        </w:rPr>
        <w:t>2024</w:t>
      </w:r>
      <w:r>
        <w:rPr>
          <w:rFonts w:hint="eastAsia" w:ascii="Times New Roman"/>
          <w:color w:val="333333"/>
        </w:rPr>
        <w:t>版）》制定的糖尿病远端对称性多发性神经病变诊断标准。</w:t>
      </w:r>
    </w:p>
    <w:p w14:paraId="69D9A91D">
      <w:pPr>
        <w:numPr>
          <w:ilvl w:val="1"/>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病史</w:t>
      </w:r>
    </w:p>
    <w:p w14:paraId="5E39A4A3">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具有明确的糖尿病病史，在确诊糖尿病时或确诊之后出现的神经病变</w:t>
      </w:r>
      <w:r>
        <w:rPr>
          <w:rFonts w:ascii="Times New Roman"/>
          <w:color w:val="333333"/>
        </w:rPr>
        <w:t>。</w:t>
      </w:r>
    </w:p>
    <w:p w14:paraId="646DD8A7">
      <w:pPr>
        <w:numPr>
          <w:ilvl w:val="1"/>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临床</w:t>
      </w:r>
      <w:r>
        <w:rPr>
          <w:rFonts w:hint="eastAsia" w:ascii="Times New Roman" w:hAnsi="Times New Roman" w:eastAsia="黑体"/>
          <w:szCs w:val="21"/>
        </w:rPr>
        <w:t>症状</w:t>
      </w:r>
    </w:p>
    <w:p w14:paraId="651D7DE5">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出现神经病变的临床症状，如疼痛、麻木、感觉异常等</w:t>
      </w:r>
      <w:r>
        <w:rPr>
          <w:rFonts w:hint="eastAsia" w:ascii="Times New Roman"/>
          <w:color w:val="333333"/>
        </w:rPr>
        <w:t>。</w:t>
      </w:r>
      <w:r>
        <w:rPr>
          <w:rFonts w:ascii="Times New Roman"/>
          <w:color w:val="333333"/>
        </w:rPr>
        <w:t>通常为对称性，下肢较上肢常见。</w:t>
      </w:r>
    </w:p>
    <w:p w14:paraId="3773A45E">
      <w:pPr>
        <w:numPr>
          <w:ilvl w:val="1"/>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体征</w:t>
      </w:r>
    </w:p>
    <w:p w14:paraId="3BA56A58">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踝反射、振动觉、压力觉、温度觉、针刺痛觉</w:t>
      </w:r>
      <w:r>
        <w:rPr>
          <w:rFonts w:hint="eastAsia" w:ascii="Times New Roman"/>
          <w:color w:val="333333"/>
        </w:rPr>
        <w:t>。</w:t>
      </w:r>
    </w:p>
    <w:p w14:paraId="033D7FA3">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诊断依据</w:t>
      </w:r>
    </w:p>
    <w:p w14:paraId="6A756C62">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若有临床症状，</w:t>
      </w:r>
      <w:r>
        <w:rPr>
          <w:rFonts w:ascii="Times New Roman"/>
          <w:color w:val="333333"/>
        </w:rPr>
        <w:t>踝反射、振动觉、压力觉、温度觉、针刺痛觉中任一项异常可以诊断；若无临床症状，则5项检查任意2项异常也可诊断</w:t>
      </w:r>
      <w:r>
        <w:rPr>
          <w:rFonts w:hint="eastAsia" w:ascii="Times New Roman"/>
          <w:color w:val="333333"/>
        </w:rPr>
        <w:t>。</w:t>
      </w:r>
    </w:p>
    <w:p w14:paraId="35CBDB52">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鉴别诊断</w:t>
      </w:r>
    </w:p>
    <w:p w14:paraId="68A9ABF5">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需与其他原因所导致的神经病变需鉴别，包括颈腰椎疾病、脑梗死、慢性炎症性脱髓鞘性神经病变、遗传性神经病变、具有神经毒性的药物、维生素</w:t>
      </w:r>
      <w:r>
        <w:rPr>
          <w:rFonts w:ascii="Times New Roman"/>
          <w:color w:val="333333"/>
        </w:rPr>
        <w:t>B12</w:t>
      </w:r>
      <w:r>
        <w:rPr>
          <w:rFonts w:hint="eastAsia" w:ascii="Times New Roman"/>
          <w:color w:val="333333"/>
        </w:rPr>
        <w:t>缺乏、血管炎、感染、肾功能不全引起的代谢毒物对神经的损伤。</w:t>
      </w:r>
    </w:p>
    <w:p w14:paraId="5036C7AB">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辅助检查</w:t>
      </w:r>
    </w:p>
    <w:p w14:paraId="6096DA03">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神经电生理检查可用于临床表现不典型，诊断不明或疑有其他病因以进一步明确诊断，表现为感觉神经动作电位波幅降低、感觉神经传导速度减慢；可有复合肌肉动作电位波幅降低及运动神经传导速度减慢。</w:t>
      </w:r>
      <w:r>
        <w:rPr>
          <w:rFonts w:ascii="Times New Roman"/>
          <w:color w:val="333333"/>
        </w:rPr>
        <w:t>。</w:t>
      </w:r>
    </w:p>
    <w:p w14:paraId="0DA0B0D6">
      <w:pPr>
        <w:pStyle w:val="27"/>
        <w:numPr>
          <w:ilvl w:val="0"/>
          <w:numId w:val="2"/>
        </w:numPr>
        <w:spacing w:before="312" w:beforeLines="100" w:after="312" w:afterLines="100" w:line="360" w:lineRule="exact"/>
        <w:outlineLvl w:val="0"/>
        <w:rPr>
          <w:rFonts w:ascii="Times New Roman" w:hAnsi="Times New Roman"/>
        </w:rPr>
      </w:pPr>
      <w:bookmarkStart w:id="27" w:name="_Toc1173"/>
      <w:r>
        <w:rPr>
          <w:rFonts w:ascii="Times New Roman" w:hAnsi="Times New Roman"/>
        </w:rPr>
        <w:t>经络辨证</w:t>
      </w:r>
      <w:bookmarkEnd w:id="27"/>
    </w:p>
    <w:p w14:paraId="68ACCC38">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双侧远端对称性肢体疼痛、麻木、感觉异常，多以下肢为主</w:t>
      </w:r>
      <w:r>
        <w:rPr>
          <w:rFonts w:hint="eastAsia" w:ascii="Times New Roman"/>
          <w:color w:val="333333"/>
        </w:rPr>
        <w:t>，属足</w:t>
      </w:r>
      <w:r>
        <w:rPr>
          <w:rFonts w:ascii="Times New Roman"/>
          <w:color w:val="333333"/>
        </w:rPr>
        <w:t>三阴经、</w:t>
      </w:r>
      <w:r>
        <w:rPr>
          <w:rFonts w:hint="eastAsia" w:ascii="Times New Roman"/>
          <w:color w:val="333333"/>
        </w:rPr>
        <w:t>足</w:t>
      </w:r>
      <w:r>
        <w:rPr>
          <w:rFonts w:ascii="Times New Roman"/>
          <w:color w:val="333333"/>
        </w:rPr>
        <w:t>三阳经证；少数伴有手指端疼痛、麻木、感觉异常者，属手三阴经、手三阳经证。</w:t>
      </w:r>
    </w:p>
    <w:p w14:paraId="12722A47">
      <w:pPr>
        <w:numPr>
          <w:ilvl w:val="1"/>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足三阳经证</w:t>
      </w:r>
    </w:p>
    <w:p w14:paraId="40CCB3F2">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下肢前、后、外侧麻木、疼痛、感觉异常为主。</w:t>
      </w:r>
    </w:p>
    <w:p w14:paraId="08200FB4">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以足阳明经证为主</w:t>
      </w:r>
    </w:p>
    <w:p w14:paraId="51071620">
      <w:pPr>
        <w:pStyle w:val="26"/>
        <w:tabs>
          <w:tab w:val="center" w:pos="4201"/>
          <w:tab w:val="right" w:leader="dot" w:pos="9298"/>
        </w:tabs>
        <w:spacing w:after="156" w:afterLines="50" w:line="360" w:lineRule="exact"/>
        <w:ind w:firstLine="630" w:firstLineChars="300"/>
        <w:rPr>
          <w:rFonts w:ascii="Times New Roman"/>
          <w:color w:val="333333"/>
        </w:rPr>
      </w:pPr>
      <w:r>
        <w:rPr>
          <w:rFonts w:ascii="Times New Roman"/>
          <w:color w:val="333333"/>
        </w:rPr>
        <w:t>下肢前侧麻木、疼痛、感觉异常为主。</w:t>
      </w:r>
    </w:p>
    <w:p w14:paraId="17E8AA23">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以足太阳经证为主</w:t>
      </w:r>
    </w:p>
    <w:p w14:paraId="53D3B264">
      <w:pPr>
        <w:pStyle w:val="26"/>
        <w:tabs>
          <w:tab w:val="center" w:pos="4201"/>
          <w:tab w:val="right" w:leader="dot" w:pos="9298"/>
        </w:tabs>
        <w:spacing w:after="156" w:afterLines="50" w:line="360" w:lineRule="exact"/>
        <w:ind w:firstLine="630" w:firstLineChars="300"/>
        <w:rPr>
          <w:rFonts w:ascii="Times New Roman"/>
          <w:color w:val="333333"/>
        </w:rPr>
      </w:pPr>
      <w:r>
        <w:rPr>
          <w:rFonts w:ascii="Times New Roman"/>
          <w:color w:val="333333"/>
        </w:rPr>
        <w:t>下肢后侧麻木、疼痛、感觉异常为主。</w:t>
      </w:r>
    </w:p>
    <w:p w14:paraId="7B6F9093">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以足少阳经证为主</w:t>
      </w:r>
    </w:p>
    <w:p w14:paraId="020A46FA">
      <w:pPr>
        <w:pStyle w:val="26"/>
        <w:tabs>
          <w:tab w:val="center" w:pos="4201"/>
          <w:tab w:val="right" w:leader="dot" w:pos="9298"/>
        </w:tabs>
        <w:spacing w:after="156" w:afterLines="50" w:line="360" w:lineRule="exact"/>
        <w:ind w:firstLine="630" w:firstLineChars="300"/>
        <w:rPr>
          <w:rFonts w:ascii="Times New Roman"/>
          <w:color w:val="333333"/>
        </w:rPr>
      </w:pPr>
      <w:r>
        <w:rPr>
          <w:rFonts w:ascii="Times New Roman"/>
          <w:color w:val="333333"/>
        </w:rPr>
        <w:t>下肢外侧麻木、疼痛、感觉异常为主。</w:t>
      </w:r>
    </w:p>
    <w:p w14:paraId="5538D0B8">
      <w:pPr>
        <w:numPr>
          <w:ilvl w:val="1"/>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足三阴经证</w:t>
      </w:r>
    </w:p>
    <w:p w14:paraId="7FABFD81">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下肢内侧麻木、疼痛、感觉异常为主。</w:t>
      </w:r>
    </w:p>
    <w:p w14:paraId="042935D4">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足太阴经证</w:t>
      </w:r>
    </w:p>
    <w:p w14:paraId="3C02B226">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下肢内前侧麻木、疼痛、感觉异常为主。</w:t>
      </w:r>
    </w:p>
    <w:p w14:paraId="4E79351E">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足少阴经证</w:t>
      </w:r>
    </w:p>
    <w:p w14:paraId="1AF7AD85">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下肢内后侧麻木、疼痛、感觉异常为主。</w:t>
      </w:r>
    </w:p>
    <w:p w14:paraId="2AC89731">
      <w:pPr>
        <w:numPr>
          <w:ilvl w:val="2"/>
          <w:numId w:val="2"/>
        </w:numPr>
        <w:tabs>
          <w:tab w:val="left" w:pos="1125"/>
        </w:tabs>
        <w:spacing w:line="360" w:lineRule="exact"/>
        <w:rPr>
          <w:rFonts w:ascii="Times New Roman" w:hAnsi="Times New Roman" w:eastAsia="黑体"/>
          <w:szCs w:val="21"/>
        </w:rPr>
      </w:pPr>
      <w:r>
        <w:rPr>
          <w:rFonts w:ascii="Times New Roman" w:hAnsi="Times New Roman" w:eastAsia="黑体"/>
          <w:szCs w:val="21"/>
        </w:rPr>
        <w:t>足厥阴经证</w:t>
      </w:r>
    </w:p>
    <w:p w14:paraId="6C5CFE67">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下肢内侧麻木、疼痛、感觉异常为主。</w:t>
      </w:r>
    </w:p>
    <w:p w14:paraId="3D832C34">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手</w:t>
      </w:r>
      <w:r>
        <w:rPr>
          <w:rFonts w:ascii="Times New Roman" w:hAnsi="Times New Roman" w:eastAsia="黑体"/>
          <w:szCs w:val="21"/>
        </w:rPr>
        <w:t>三阴经证</w:t>
      </w:r>
    </w:p>
    <w:p w14:paraId="6C439051">
      <w:pPr>
        <w:pStyle w:val="26"/>
        <w:tabs>
          <w:tab w:val="center" w:pos="4201"/>
          <w:tab w:val="right" w:leader="dot" w:pos="9298"/>
        </w:tabs>
        <w:spacing w:after="156" w:afterLines="50" w:line="360" w:lineRule="exact"/>
        <w:ind w:firstLine="420"/>
        <w:rPr>
          <w:rFonts w:ascii="Times New Roman"/>
          <w:color w:val="333333"/>
        </w:rPr>
      </w:pPr>
      <w:r>
        <w:rPr>
          <w:rFonts w:hint="eastAsia" w:ascii="Times New Roman"/>
          <w:color w:val="333333"/>
        </w:rPr>
        <w:t>上肢远端掌侧麻木、疼痛、感觉异常为主。</w:t>
      </w:r>
    </w:p>
    <w:p w14:paraId="770473ED">
      <w:pPr>
        <w:numPr>
          <w:ilvl w:val="1"/>
          <w:numId w:val="2"/>
        </w:numPr>
        <w:tabs>
          <w:tab w:val="left" w:pos="1125"/>
        </w:tabs>
        <w:spacing w:line="360" w:lineRule="exact"/>
        <w:rPr>
          <w:rFonts w:ascii="Times New Roman" w:hAnsi="Times New Roman" w:eastAsia="黑体"/>
          <w:szCs w:val="21"/>
        </w:rPr>
      </w:pPr>
      <w:r>
        <w:rPr>
          <w:rFonts w:hint="eastAsia" w:ascii="Times New Roman" w:hAnsi="Times New Roman" w:eastAsia="黑体"/>
          <w:szCs w:val="21"/>
        </w:rPr>
        <w:t>手三阳经证</w:t>
      </w:r>
    </w:p>
    <w:p w14:paraId="1C2A6A00">
      <w:pPr>
        <w:pStyle w:val="26"/>
        <w:tabs>
          <w:tab w:val="center" w:pos="4201"/>
          <w:tab w:val="right" w:leader="dot" w:pos="9298"/>
        </w:tabs>
        <w:spacing w:after="156" w:afterLines="50" w:line="360" w:lineRule="exact"/>
        <w:ind w:firstLine="420"/>
        <w:rPr>
          <w:rFonts w:hint="eastAsia" w:ascii="Times New Roman"/>
          <w:color w:val="333333"/>
        </w:rPr>
      </w:pPr>
      <w:r>
        <w:rPr>
          <w:rFonts w:hint="eastAsia" w:ascii="Times New Roman"/>
          <w:color w:val="333333"/>
        </w:rPr>
        <w:t>上肢远端背侧麻木、疼痛、感觉异常为主。</w:t>
      </w:r>
    </w:p>
    <w:p w14:paraId="469899D2">
      <w:pPr>
        <w:pStyle w:val="27"/>
        <w:numPr>
          <w:ilvl w:val="0"/>
          <w:numId w:val="2"/>
        </w:numPr>
        <w:spacing w:before="312" w:beforeLines="100" w:after="312" w:afterLines="100" w:line="360" w:lineRule="exact"/>
        <w:outlineLvl w:val="0"/>
        <w:rPr>
          <w:rFonts w:ascii="Times New Roman" w:hAnsi="Times New Roman"/>
        </w:rPr>
      </w:pPr>
      <w:bookmarkStart w:id="28" w:name="_Toc1667"/>
      <w:r>
        <w:rPr>
          <w:rFonts w:ascii="Times New Roman" w:hAnsi="Times New Roman"/>
        </w:rPr>
        <w:t>针灸治疗方案</w:t>
      </w:r>
      <w:bookmarkEnd w:id="28"/>
    </w:p>
    <w:p w14:paraId="4E671447">
      <w:pPr>
        <w:tabs>
          <w:tab w:val="left" w:pos="1125"/>
        </w:tabs>
        <w:spacing w:after="156" w:afterLines="50" w:line="360" w:lineRule="exact"/>
        <w:rPr>
          <w:rFonts w:ascii="Times New Roman" w:hAnsi="Times New Roman"/>
          <w:color w:val="000000"/>
          <w:kern w:val="0"/>
          <w:szCs w:val="20"/>
        </w:rPr>
      </w:pPr>
      <w:r>
        <w:rPr>
          <w:rFonts w:ascii="Times New Roman" w:hAnsi="Times New Roman"/>
          <w:color w:val="000000"/>
          <w:kern w:val="0"/>
          <w:szCs w:val="20"/>
        </w:rPr>
        <w:t xml:space="preserve">    毫针刺法可作为基础治疗，以经络辨证为主</w:t>
      </w:r>
      <w:r>
        <w:rPr>
          <w:rFonts w:hint="eastAsia" w:ascii="Times New Roman" w:hAnsi="Times New Roman"/>
          <w:color w:val="000000"/>
          <w:kern w:val="0"/>
          <w:szCs w:val="20"/>
        </w:rPr>
        <w:t>，</w:t>
      </w:r>
      <w:r>
        <w:rPr>
          <w:rFonts w:ascii="Times New Roman" w:hAnsi="Times New Roman"/>
          <w:color w:val="000000"/>
          <w:kern w:val="0"/>
          <w:szCs w:val="20"/>
        </w:rPr>
        <w:t>可根据症状配合不同针灸方法。</w:t>
      </w:r>
    </w:p>
    <w:p w14:paraId="6381C47A">
      <w:pPr>
        <w:numPr>
          <w:ilvl w:val="1"/>
          <w:numId w:val="2"/>
        </w:numPr>
        <w:tabs>
          <w:tab w:val="left" w:pos="1125"/>
        </w:tabs>
        <w:spacing w:after="156" w:afterLines="50" w:line="360" w:lineRule="exact"/>
        <w:rPr>
          <w:rFonts w:ascii="Times New Roman" w:hAnsi="Times New Roman" w:eastAsia="黑体"/>
          <w:szCs w:val="21"/>
        </w:rPr>
      </w:pPr>
      <w:r>
        <w:rPr>
          <w:rFonts w:hint="eastAsia" w:ascii="Times New Roman" w:hAnsi="Times New Roman" w:eastAsia="黑体"/>
          <w:szCs w:val="21"/>
        </w:rPr>
        <w:t>主</w:t>
      </w:r>
      <w:r>
        <w:rPr>
          <w:rFonts w:ascii="Times New Roman" w:hAnsi="Times New Roman" w:eastAsia="黑体"/>
          <w:szCs w:val="21"/>
        </w:rPr>
        <w:t>穴</w:t>
      </w:r>
    </w:p>
    <w:p w14:paraId="045B709D">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足三里、三阴交、太溪、八风；胰俞、肝俞、脾俞、肾俞；梁门、中脘</w:t>
      </w:r>
      <w:r>
        <w:rPr>
          <w:rFonts w:hint="eastAsia" w:ascii="Times New Roman"/>
          <w:color w:val="000000"/>
        </w:rPr>
        <w:t>；合谷、太冲</w:t>
      </w:r>
      <w:r>
        <w:rPr>
          <w:rFonts w:ascii="Times New Roman"/>
          <w:color w:val="000000"/>
        </w:rPr>
        <w:t>。</w:t>
      </w:r>
    </w:p>
    <w:p w14:paraId="42FBE6EA">
      <w:pPr>
        <w:numPr>
          <w:ilvl w:val="1"/>
          <w:numId w:val="2"/>
        </w:numPr>
        <w:tabs>
          <w:tab w:val="left" w:pos="1125"/>
        </w:tabs>
        <w:spacing w:after="156" w:afterLines="50" w:line="360" w:lineRule="exact"/>
        <w:rPr>
          <w:rFonts w:ascii="Times New Roman" w:hAnsi="Times New Roman"/>
          <w:color w:val="000000"/>
        </w:rPr>
      </w:pPr>
      <w:r>
        <w:rPr>
          <w:rFonts w:ascii="Times New Roman" w:hAnsi="Times New Roman" w:eastAsia="黑体"/>
          <w:szCs w:val="21"/>
        </w:rPr>
        <w:t>辨经配穴</w:t>
      </w:r>
    </w:p>
    <w:p w14:paraId="54D67B78">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足阳明经证</w:t>
      </w:r>
    </w:p>
    <w:p w14:paraId="434B89FA">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丰隆、解溪。</w:t>
      </w:r>
    </w:p>
    <w:p w14:paraId="43F91E6D">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足太阳经证</w:t>
      </w:r>
    </w:p>
    <w:p w14:paraId="471116EF">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承山、昆仑。</w:t>
      </w:r>
    </w:p>
    <w:p w14:paraId="75A9B8C5">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足少阳经证</w:t>
      </w:r>
    </w:p>
    <w:p w14:paraId="0B2257A1">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阳陵泉、足临泣。</w:t>
      </w:r>
    </w:p>
    <w:p w14:paraId="3F886AEB">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足太阴经证</w:t>
      </w:r>
    </w:p>
    <w:p w14:paraId="6F7A9262">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阴陵泉、太白。</w:t>
      </w:r>
    </w:p>
    <w:p w14:paraId="4C4EB1B6">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足少阴经证</w:t>
      </w:r>
    </w:p>
    <w:p w14:paraId="0204738E">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太溪、然谷。</w:t>
      </w:r>
    </w:p>
    <w:p w14:paraId="7FD1B94B">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足厥阴经证</w:t>
      </w:r>
    </w:p>
    <w:p w14:paraId="2BBE609F">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曲泉、</w:t>
      </w:r>
      <w:r>
        <w:rPr>
          <w:rFonts w:hint="eastAsia" w:ascii="Times New Roman"/>
          <w:color w:val="000000"/>
        </w:rPr>
        <w:t>行间</w:t>
      </w:r>
      <w:r>
        <w:rPr>
          <w:rFonts w:ascii="Times New Roman"/>
          <w:color w:val="000000"/>
        </w:rPr>
        <w:t>。</w:t>
      </w:r>
    </w:p>
    <w:p w14:paraId="418D6D3B">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手三阴经证</w:t>
      </w:r>
    </w:p>
    <w:p w14:paraId="69A4567C">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内关、通里。</w:t>
      </w:r>
    </w:p>
    <w:p w14:paraId="6096BC05">
      <w:pPr>
        <w:numPr>
          <w:ilvl w:val="2"/>
          <w:numId w:val="2"/>
        </w:numPr>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手三阳经证</w:t>
      </w:r>
    </w:p>
    <w:p w14:paraId="11B7F804">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八邪、后溪。</w:t>
      </w:r>
    </w:p>
    <w:p w14:paraId="59B27004">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腧穴定位</w:t>
      </w:r>
    </w:p>
    <w:p w14:paraId="2D803CFE">
      <w:pPr>
        <w:pStyle w:val="26"/>
        <w:tabs>
          <w:tab w:val="center" w:pos="4201"/>
          <w:tab w:val="right" w:leader="dot" w:pos="9298"/>
        </w:tabs>
        <w:spacing w:after="156" w:afterLines="50" w:line="360" w:lineRule="exact"/>
        <w:ind w:firstLine="420"/>
        <w:rPr>
          <w:rFonts w:ascii="Times New Roman"/>
          <w:color w:val="000000"/>
        </w:rPr>
      </w:pPr>
      <w:r>
        <w:rPr>
          <w:rFonts w:hint="eastAsia" w:ascii="Times New Roman"/>
          <w:color w:val="000000"/>
        </w:rPr>
        <w:t>腧穴定位，应符合GB/Y12346-2021的规定，具体</w:t>
      </w:r>
      <w:r>
        <w:rPr>
          <w:rFonts w:ascii="Times New Roman"/>
          <w:color w:val="000000"/>
        </w:rPr>
        <w:t>参见附录A。</w:t>
      </w:r>
    </w:p>
    <w:p w14:paraId="2BB0B990">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毫针操作</w:t>
      </w:r>
    </w:p>
    <w:p w14:paraId="35CB8242">
      <w:pPr>
        <w:pStyle w:val="26"/>
        <w:tabs>
          <w:tab w:val="center" w:pos="4201"/>
          <w:tab w:val="right" w:leader="dot" w:pos="9298"/>
        </w:tabs>
        <w:spacing w:after="156" w:afterLines="50" w:line="360" w:lineRule="exact"/>
        <w:ind w:firstLine="420"/>
        <w:rPr>
          <w:rFonts w:ascii="Times New Roman"/>
          <w:color w:val="333333"/>
          <w:szCs w:val="21"/>
          <w:shd w:val="clear" w:color="auto" w:fill="FFFFFF"/>
        </w:rPr>
      </w:pPr>
      <w:r>
        <w:rPr>
          <w:rFonts w:hint="eastAsia" w:ascii="Times New Roman"/>
          <w:color w:val="000000"/>
        </w:rPr>
        <w:t>毫针技术操作规范，应符合</w:t>
      </w:r>
      <w:r>
        <w:rPr>
          <w:rFonts w:ascii="Times New Roman"/>
          <w:color w:val="333333"/>
          <w:szCs w:val="21"/>
          <w:shd w:val="clear" w:color="auto" w:fill="FFFFFF"/>
        </w:rPr>
        <w:t>GB/T 21709.20-2009</w:t>
      </w:r>
      <w:r>
        <w:rPr>
          <w:rFonts w:hint="eastAsia" w:ascii="Times New Roman"/>
          <w:color w:val="333333"/>
          <w:szCs w:val="21"/>
          <w:shd w:val="clear" w:color="auto" w:fill="FFFFFF"/>
        </w:rPr>
        <w:t>的规定。</w:t>
      </w:r>
    </w:p>
    <w:p w14:paraId="5B50F99D">
      <w:pPr>
        <w:pStyle w:val="26"/>
        <w:tabs>
          <w:tab w:val="center" w:pos="4201"/>
          <w:tab w:val="right" w:leader="dot" w:pos="9298"/>
        </w:tabs>
        <w:spacing w:after="156" w:afterLines="50" w:line="360" w:lineRule="exact"/>
        <w:ind w:firstLine="420"/>
        <w:rPr>
          <w:rFonts w:ascii="Times New Roman"/>
          <w:color w:val="333333"/>
          <w:szCs w:val="21"/>
          <w:shd w:val="clear" w:color="auto" w:fill="FFFFFF"/>
        </w:rPr>
      </w:pPr>
      <w:r>
        <w:rPr>
          <w:rFonts w:hint="eastAsia" w:ascii="Times New Roman"/>
          <w:color w:val="333333"/>
          <w:szCs w:val="21"/>
          <w:shd w:val="clear" w:color="auto" w:fill="FFFFFF"/>
        </w:rPr>
        <w:t>各穴位操作参见附录A。</w:t>
      </w:r>
    </w:p>
    <w:p w14:paraId="4C84DB7E">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艾灸法</w:t>
      </w:r>
    </w:p>
    <w:p w14:paraId="5AD7E82E">
      <w:pPr>
        <w:numPr>
          <w:ilvl w:val="2"/>
          <w:numId w:val="2"/>
        </w:numPr>
        <w:tabs>
          <w:tab w:val="left" w:pos="1125"/>
        </w:tabs>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取穴</w:t>
      </w:r>
    </w:p>
    <w:p w14:paraId="27F32340">
      <w:pPr>
        <w:pStyle w:val="26"/>
        <w:tabs>
          <w:tab w:val="center" w:pos="4201"/>
          <w:tab w:val="right" w:leader="dot" w:pos="9298"/>
        </w:tabs>
        <w:spacing w:after="156" w:afterLines="50" w:line="360" w:lineRule="exact"/>
        <w:ind w:left="218" w:leftChars="104" w:firstLine="420"/>
        <w:rPr>
          <w:rFonts w:ascii="Times New Roman"/>
          <w:color w:val="333333"/>
          <w:szCs w:val="21"/>
          <w:shd w:val="clear" w:color="auto" w:fill="FFFFFF"/>
        </w:rPr>
      </w:pPr>
      <w:r>
        <w:rPr>
          <w:rFonts w:ascii="Times New Roman"/>
          <w:color w:val="000000"/>
        </w:rPr>
        <w:t>足三里、</w:t>
      </w:r>
      <w:r>
        <w:rPr>
          <w:rFonts w:ascii="Times New Roman"/>
          <w:color w:val="333333"/>
          <w:szCs w:val="21"/>
          <w:shd w:val="clear" w:color="auto" w:fill="FFFFFF"/>
        </w:rPr>
        <w:t>丰隆、承山、</w:t>
      </w:r>
      <w:r>
        <w:rPr>
          <w:rFonts w:ascii="Times New Roman"/>
          <w:color w:val="000000"/>
        </w:rPr>
        <w:t>三阴交、太溪、太冲</w:t>
      </w:r>
      <w:r>
        <w:rPr>
          <w:rFonts w:ascii="Times New Roman"/>
          <w:color w:val="333333"/>
          <w:szCs w:val="21"/>
          <w:shd w:val="clear" w:color="auto" w:fill="FFFFFF"/>
        </w:rPr>
        <w:t>、</w:t>
      </w:r>
      <w:r>
        <w:rPr>
          <w:rFonts w:ascii="Times New Roman"/>
          <w:color w:val="000000"/>
        </w:rPr>
        <w:t>涌泉</w:t>
      </w:r>
    </w:p>
    <w:p w14:paraId="359C0F5D">
      <w:pPr>
        <w:numPr>
          <w:ilvl w:val="2"/>
          <w:numId w:val="2"/>
        </w:numPr>
        <w:tabs>
          <w:tab w:val="left" w:pos="1125"/>
        </w:tabs>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艾灸操作</w:t>
      </w:r>
    </w:p>
    <w:p w14:paraId="3F0636B5">
      <w:pPr>
        <w:pStyle w:val="26"/>
        <w:tabs>
          <w:tab w:val="center" w:pos="4201"/>
          <w:tab w:val="right" w:leader="dot" w:pos="9298"/>
        </w:tabs>
        <w:spacing w:after="156" w:afterLines="50" w:line="360" w:lineRule="exact"/>
        <w:ind w:left="218" w:leftChars="104" w:firstLine="420"/>
        <w:rPr>
          <w:rFonts w:ascii="Times New Roman"/>
          <w:color w:val="333333"/>
          <w:szCs w:val="21"/>
          <w:shd w:val="clear" w:color="auto" w:fill="FFFFFF"/>
        </w:rPr>
      </w:pPr>
      <w:r>
        <w:rPr>
          <w:rFonts w:hint="eastAsia" w:ascii="Times New Roman"/>
          <w:color w:val="333333"/>
          <w:szCs w:val="21"/>
          <w:shd w:val="clear" w:color="auto" w:fill="FFFFFF"/>
        </w:rPr>
        <w:t>艾灸技术操作规范，应符合</w:t>
      </w:r>
      <w:r>
        <w:rPr>
          <w:rFonts w:ascii="Times New Roman"/>
          <w:color w:val="333333"/>
          <w:szCs w:val="21"/>
          <w:shd w:val="clear" w:color="auto" w:fill="FFFFFF"/>
        </w:rPr>
        <w:t>GB/T 21709.1-2008</w:t>
      </w:r>
      <w:r>
        <w:rPr>
          <w:rFonts w:hint="eastAsia" w:ascii="Times New Roman"/>
          <w:color w:val="333333"/>
          <w:szCs w:val="21"/>
          <w:shd w:val="clear" w:color="auto" w:fill="FFFFFF"/>
        </w:rPr>
        <w:t>的规定。</w:t>
      </w:r>
    </w:p>
    <w:p w14:paraId="6C6D8203">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穴位注射</w:t>
      </w:r>
    </w:p>
    <w:p w14:paraId="40219923">
      <w:pPr>
        <w:numPr>
          <w:ilvl w:val="2"/>
          <w:numId w:val="2"/>
        </w:numPr>
        <w:tabs>
          <w:tab w:val="left" w:pos="1125"/>
        </w:tabs>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取穴</w:t>
      </w:r>
    </w:p>
    <w:p w14:paraId="63FCAADB">
      <w:pPr>
        <w:pStyle w:val="26"/>
        <w:tabs>
          <w:tab w:val="center" w:pos="4201"/>
          <w:tab w:val="right" w:leader="dot" w:pos="9298"/>
        </w:tabs>
        <w:spacing w:after="156" w:afterLines="50" w:line="360" w:lineRule="exact"/>
        <w:ind w:left="218" w:leftChars="104" w:firstLine="420"/>
        <w:rPr>
          <w:rFonts w:ascii="Times New Roman"/>
          <w:color w:val="333333"/>
          <w:szCs w:val="21"/>
          <w:shd w:val="clear" w:color="auto" w:fill="FFFFFF"/>
        </w:rPr>
      </w:pPr>
      <w:r>
        <w:rPr>
          <w:rFonts w:ascii="Times New Roman"/>
          <w:color w:val="333333"/>
          <w:szCs w:val="21"/>
          <w:shd w:val="clear" w:color="auto" w:fill="FFFFFF"/>
        </w:rPr>
        <w:t>足三里、阳陵泉、阴陵泉、三阴交，每次</w:t>
      </w:r>
      <w:r>
        <w:rPr>
          <w:rFonts w:ascii="Times New Roman"/>
          <w:szCs w:val="21"/>
        </w:rPr>
        <w:t>选取</w:t>
      </w:r>
      <w:r>
        <w:rPr>
          <w:rFonts w:hint="eastAsia" w:ascii="Times New Roman"/>
          <w:szCs w:val="21"/>
        </w:rPr>
        <w:t>2-4个</w:t>
      </w:r>
      <w:r>
        <w:rPr>
          <w:rFonts w:ascii="Times New Roman"/>
          <w:szCs w:val="21"/>
        </w:rPr>
        <w:t>穴位</w:t>
      </w:r>
      <w:r>
        <w:rPr>
          <w:rFonts w:hint="eastAsia" w:ascii="Times New Roman"/>
          <w:szCs w:val="21"/>
        </w:rPr>
        <w:t>，双侧</w:t>
      </w:r>
      <w:r>
        <w:rPr>
          <w:rFonts w:ascii="Times New Roman"/>
          <w:szCs w:val="21"/>
        </w:rPr>
        <w:t>交替注射</w:t>
      </w:r>
      <w:r>
        <w:rPr>
          <w:rFonts w:ascii="Times New Roman"/>
          <w:color w:val="333333"/>
          <w:szCs w:val="21"/>
          <w:shd w:val="clear" w:color="auto" w:fill="FFFFFF"/>
        </w:rPr>
        <w:t>。</w:t>
      </w:r>
    </w:p>
    <w:p w14:paraId="6F024825">
      <w:pPr>
        <w:numPr>
          <w:ilvl w:val="2"/>
          <w:numId w:val="2"/>
        </w:numPr>
        <w:tabs>
          <w:tab w:val="left" w:pos="1125"/>
        </w:tabs>
        <w:spacing w:after="156" w:afterLines="50" w:line="360" w:lineRule="exact"/>
        <w:ind w:left="0" w:firstLine="218" w:firstLineChars="104"/>
        <w:rPr>
          <w:rFonts w:ascii="Times New Roman" w:hAnsi="Times New Roman" w:eastAsia="黑体"/>
          <w:szCs w:val="21"/>
        </w:rPr>
      </w:pPr>
      <w:r>
        <w:rPr>
          <w:rFonts w:ascii="Times New Roman" w:hAnsi="Times New Roman" w:eastAsia="黑体"/>
          <w:szCs w:val="21"/>
        </w:rPr>
        <w:t>穴位注射操作</w:t>
      </w:r>
    </w:p>
    <w:p w14:paraId="4596B837">
      <w:pPr>
        <w:pStyle w:val="26"/>
        <w:tabs>
          <w:tab w:val="center" w:pos="4201"/>
          <w:tab w:val="right" w:leader="dot" w:pos="9298"/>
        </w:tabs>
        <w:spacing w:after="156" w:afterLines="50" w:line="360" w:lineRule="exact"/>
        <w:ind w:left="218" w:leftChars="104" w:firstLine="420"/>
        <w:rPr>
          <w:rFonts w:ascii="Times New Roman"/>
          <w:color w:val="333333"/>
          <w:szCs w:val="21"/>
          <w:shd w:val="clear" w:color="auto" w:fill="FFFFFF"/>
        </w:rPr>
      </w:pPr>
      <w:r>
        <w:rPr>
          <w:rFonts w:hint="eastAsia" w:ascii="Times New Roman"/>
          <w:color w:val="333333"/>
          <w:szCs w:val="21"/>
          <w:shd w:val="clear" w:color="auto" w:fill="FFFFFF"/>
        </w:rPr>
        <w:t>穴位注射技术操作规范，应符合</w:t>
      </w:r>
      <w:r>
        <w:rPr>
          <w:rFonts w:ascii="Times New Roman"/>
          <w:color w:val="333333"/>
          <w:szCs w:val="21"/>
          <w:shd w:val="clear" w:color="auto" w:fill="FFFFFF"/>
        </w:rPr>
        <w:t>GB/T 21709.6-2008</w:t>
      </w:r>
      <w:r>
        <w:rPr>
          <w:rFonts w:hint="eastAsia" w:ascii="Times New Roman"/>
          <w:color w:val="333333"/>
          <w:szCs w:val="21"/>
          <w:shd w:val="clear" w:color="auto" w:fill="FFFFFF"/>
        </w:rPr>
        <w:t>的规定。</w:t>
      </w:r>
    </w:p>
    <w:p w14:paraId="4225EAB9">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治疗频次</w:t>
      </w:r>
    </w:p>
    <w:p w14:paraId="43AAA5C1">
      <w:pPr>
        <w:pStyle w:val="26"/>
        <w:tabs>
          <w:tab w:val="center" w:pos="4201"/>
          <w:tab w:val="right" w:leader="dot" w:pos="9298"/>
        </w:tabs>
        <w:spacing w:after="156" w:afterLines="50" w:line="360" w:lineRule="exact"/>
        <w:ind w:firstLine="420"/>
        <w:rPr>
          <w:rFonts w:ascii="Times New Roman"/>
          <w:color w:val="000000"/>
        </w:rPr>
      </w:pPr>
      <w:r>
        <w:rPr>
          <w:rFonts w:ascii="Times New Roman"/>
          <w:color w:val="000000"/>
        </w:rPr>
        <w:t>毫针、艾灸、穴位注射操作均隔日治疗</w:t>
      </w:r>
      <w:r>
        <w:rPr>
          <w:rFonts w:hint="eastAsia" w:ascii="Times New Roman"/>
          <w:color w:val="000000"/>
        </w:rPr>
        <w:t>1次</w:t>
      </w:r>
      <w:r>
        <w:rPr>
          <w:rFonts w:ascii="Times New Roman"/>
          <w:color w:val="000000"/>
        </w:rPr>
        <w:t>。</w:t>
      </w:r>
    </w:p>
    <w:p w14:paraId="04A5C232">
      <w:pPr>
        <w:numPr>
          <w:ilvl w:val="1"/>
          <w:numId w:val="2"/>
        </w:numPr>
        <w:tabs>
          <w:tab w:val="left" w:pos="1125"/>
        </w:tabs>
        <w:spacing w:after="156" w:afterLines="50" w:line="360" w:lineRule="exact"/>
        <w:rPr>
          <w:rFonts w:ascii="Times New Roman" w:hAnsi="Times New Roman" w:eastAsia="黑体"/>
          <w:szCs w:val="21"/>
        </w:rPr>
      </w:pPr>
      <w:r>
        <w:rPr>
          <w:rFonts w:ascii="Times New Roman" w:hAnsi="Times New Roman" w:eastAsia="黑体"/>
          <w:szCs w:val="21"/>
        </w:rPr>
        <w:t>疗程</w:t>
      </w:r>
    </w:p>
    <w:p w14:paraId="6617ACE9">
      <w:pPr>
        <w:pStyle w:val="26"/>
        <w:tabs>
          <w:tab w:val="center" w:pos="4201"/>
          <w:tab w:val="right" w:leader="dot" w:pos="9298"/>
        </w:tabs>
        <w:spacing w:after="156" w:afterLines="50" w:line="360" w:lineRule="exact"/>
        <w:ind w:firstLine="420"/>
        <w:rPr>
          <w:rFonts w:ascii="Times New Roman"/>
          <w:szCs w:val="21"/>
        </w:rPr>
      </w:pPr>
      <w:r>
        <w:rPr>
          <w:rFonts w:ascii="Times New Roman"/>
          <w:color w:val="000000"/>
        </w:rPr>
        <w:t>10次为1个疗程，连续治疗3个疗程。</w:t>
      </w:r>
    </w:p>
    <w:p w14:paraId="6952E2C4">
      <w:pPr>
        <w:pStyle w:val="27"/>
        <w:numPr>
          <w:ilvl w:val="0"/>
          <w:numId w:val="2"/>
        </w:numPr>
        <w:spacing w:before="312" w:beforeLines="100" w:after="312" w:afterLines="100" w:line="360" w:lineRule="exact"/>
        <w:outlineLvl w:val="0"/>
        <w:rPr>
          <w:rFonts w:ascii="Times New Roman" w:hAnsi="Times New Roman"/>
        </w:rPr>
      </w:pPr>
      <w:bookmarkStart w:id="29" w:name="_Toc4055"/>
      <w:r>
        <w:rPr>
          <w:rFonts w:hint="eastAsia" w:ascii="Times New Roman" w:hAnsi="Times New Roman"/>
        </w:rPr>
        <w:t>疗效评价</w:t>
      </w:r>
      <w:bookmarkEnd w:id="29"/>
    </w:p>
    <w:p w14:paraId="2F9D6193">
      <w:pPr>
        <w:pStyle w:val="26"/>
        <w:tabs>
          <w:tab w:val="center" w:pos="4201"/>
          <w:tab w:val="right" w:leader="dot" w:pos="9298"/>
        </w:tabs>
        <w:spacing w:after="156" w:afterLines="50" w:line="360" w:lineRule="exact"/>
        <w:ind w:firstLine="420"/>
        <w:rPr>
          <w:rFonts w:ascii="Times New Roman"/>
          <w:color w:val="333333"/>
        </w:rPr>
      </w:pPr>
      <w:r>
        <w:rPr>
          <w:rFonts w:ascii="Times New Roman"/>
          <w:color w:val="333333"/>
        </w:rPr>
        <w:t>糖尿病周围神经病变的疗效评价主要涉及运动和感觉神经损伤两个方面。</w:t>
      </w:r>
      <w:r>
        <w:rPr>
          <w:rFonts w:hint="eastAsia" w:ascii="Times New Roman"/>
          <w:color w:val="333333"/>
        </w:rPr>
        <w:t>通常采用神经电生理检查：</w:t>
      </w:r>
      <w:r>
        <w:rPr>
          <w:rFonts w:ascii="Times New Roman"/>
          <w:color w:val="333333"/>
        </w:rPr>
        <w:t>运动神经传导速度</w:t>
      </w:r>
      <w:r>
        <w:rPr>
          <w:rFonts w:hint="eastAsia" w:ascii="Times New Roman"/>
          <w:color w:val="333333"/>
        </w:rPr>
        <w:t>（</w:t>
      </w:r>
      <w:r>
        <w:rPr>
          <w:rFonts w:ascii="Times New Roman"/>
          <w:color w:val="333333"/>
        </w:rPr>
        <w:t>MCV</w:t>
      </w:r>
      <w:r>
        <w:rPr>
          <w:rFonts w:hint="eastAsia" w:ascii="Times New Roman"/>
          <w:color w:val="333333"/>
        </w:rPr>
        <w:t>）</w:t>
      </w:r>
      <w:r>
        <w:rPr>
          <w:rFonts w:ascii="Times New Roman"/>
          <w:color w:val="333333"/>
        </w:rPr>
        <w:t>和感觉神经传导速度</w:t>
      </w:r>
      <w:r>
        <w:rPr>
          <w:rFonts w:hint="eastAsia" w:ascii="Times New Roman"/>
          <w:color w:val="333333"/>
        </w:rPr>
        <w:t>（</w:t>
      </w:r>
      <w:r>
        <w:rPr>
          <w:rFonts w:ascii="Times New Roman"/>
          <w:color w:val="333333"/>
        </w:rPr>
        <w:t>SCV</w:t>
      </w:r>
      <w:r>
        <w:rPr>
          <w:rFonts w:hint="eastAsia" w:ascii="Times New Roman"/>
          <w:color w:val="333333"/>
        </w:rPr>
        <w:t>）</w:t>
      </w:r>
      <w:r>
        <w:rPr>
          <w:rFonts w:ascii="Times New Roman"/>
          <w:color w:val="333333"/>
        </w:rPr>
        <w:t>。</w:t>
      </w:r>
      <w:r>
        <w:rPr>
          <w:rFonts w:hint="eastAsia" w:ascii="Times New Roman"/>
          <w:color w:val="333333"/>
        </w:rPr>
        <w:t>对周围神经受损程度的临床评价可采用多伦多临床神经病变评分（Toronto Clinical Scoring System, TCSS）、密西根神经病变筛查量表（Michigan Neuropathy Screening Instrument, MNSI）等。</w:t>
      </w:r>
    </w:p>
    <w:p w14:paraId="3551620D">
      <w:pPr>
        <w:pStyle w:val="27"/>
        <w:numPr>
          <w:ilvl w:val="0"/>
          <w:numId w:val="2"/>
        </w:numPr>
        <w:spacing w:before="312" w:beforeLines="100" w:after="312" w:afterLines="100" w:line="360" w:lineRule="exact"/>
        <w:outlineLvl w:val="0"/>
        <w:rPr>
          <w:rFonts w:ascii="Times New Roman" w:hAnsi="Times New Roman"/>
        </w:rPr>
      </w:pPr>
      <w:bookmarkStart w:id="30" w:name="_Toc11314"/>
      <w:r>
        <w:rPr>
          <w:rFonts w:ascii="Times New Roman" w:hAnsi="Times New Roman"/>
        </w:rPr>
        <w:t>异常情况处理</w:t>
      </w:r>
      <w:bookmarkEnd w:id="30"/>
    </w:p>
    <w:p w14:paraId="0E2B6CC9">
      <w:pPr>
        <w:spacing w:line="360" w:lineRule="exact"/>
        <w:ind w:firstLine="420"/>
        <w:rPr>
          <w:rFonts w:ascii="Times New Roman" w:hAnsi="Times New Roman"/>
          <w:color w:val="000000"/>
        </w:rPr>
      </w:pPr>
      <w:r>
        <w:rPr>
          <w:rFonts w:hint="eastAsia" w:ascii="Times New Roman" w:hAnsi="Times New Roman"/>
          <w:szCs w:val="21"/>
        </w:rPr>
        <w:t>针灸异常情况处理，应符合</w:t>
      </w:r>
      <w:r>
        <w:rPr>
          <w:rFonts w:ascii="Times New Roman" w:hAnsi="Times New Roman"/>
          <w:szCs w:val="21"/>
        </w:rPr>
        <w:t>GB/T 33415</w:t>
      </w:r>
      <w:r>
        <w:rPr>
          <w:rFonts w:hint="eastAsia" w:ascii="Times New Roman" w:hAnsi="Times New Roman"/>
          <w:szCs w:val="21"/>
        </w:rPr>
        <w:t>-2016的规定。</w:t>
      </w:r>
    </w:p>
    <w:p w14:paraId="32F90940">
      <w:pPr>
        <w:pStyle w:val="27"/>
        <w:numPr>
          <w:ilvl w:val="0"/>
          <w:numId w:val="2"/>
        </w:numPr>
        <w:spacing w:before="312" w:beforeLines="100" w:after="312" w:afterLines="100" w:line="360" w:lineRule="exact"/>
        <w:outlineLvl w:val="0"/>
        <w:rPr>
          <w:rFonts w:ascii="Times New Roman" w:hAnsi="Times New Roman"/>
        </w:rPr>
      </w:pPr>
      <w:bookmarkStart w:id="31" w:name="_Toc15627"/>
      <w:r>
        <w:rPr>
          <w:rFonts w:ascii="Times New Roman" w:hAnsi="Times New Roman"/>
        </w:rPr>
        <w:t>注意事项</w:t>
      </w:r>
      <w:bookmarkEnd w:id="31"/>
    </w:p>
    <w:p w14:paraId="16E4B8DD">
      <w:pPr>
        <w:pStyle w:val="26"/>
        <w:numPr>
          <w:ilvl w:val="1"/>
          <w:numId w:val="2"/>
        </w:numPr>
        <w:spacing w:after="156" w:afterLines="50" w:line="360" w:lineRule="exact"/>
        <w:ind w:firstLineChars="0"/>
        <w:rPr>
          <w:rFonts w:ascii="Times New Roman"/>
        </w:rPr>
      </w:pPr>
      <w:r>
        <w:rPr>
          <w:rFonts w:ascii="Times New Roman"/>
        </w:rPr>
        <w:t>行针的提插幅度和捻转角度的大小、频率的快慢、时间的长短等，应根据患者的具体情况施术。</w:t>
      </w:r>
      <w:r>
        <w:rPr>
          <w:rFonts w:hint="eastAsia" w:ascii="Times New Roman"/>
        </w:rPr>
        <w:t>参见GB/T 21709.20-2009的规定。</w:t>
      </w:r>
    </w:p>
    <w:p w14:paraId="5F94BD3E">
      <w:pPr>
        <w:pStyle w:val="26"/>
        <w:numPr>
          <w:ilvl w:val="1"/>
          <w:numId w:val="2"/>
        </w:numPr>
        <w:spacing w:after="156" w:afterLines="50" w:line="360" w:lineRule="exact"/>
        <w:ind w:firstLineChars="0"/>
        <w:rPr>
          <w:rFonts w:ascii="Times New Roman"/>
        </w:rPr>
      </w:pPr>
      <w:r>
        <w:rPr>
          <w:rFonts w:ascii="Times New Roman"/>
        </w:rPr>
        <w:t>针刺时应避开大血管，腧穴深部有脏器时应掌握针刺深度，切不可伤及脏器。</w:t>
      </w:r>
    </w:p>
    <w:p w14:paraId="682CCDE3">
      <w:pPr>
        <w:pStyle w:val="26"/>
        <w:numPr>
          <w:ilvl w:val="1"/>
          <w:numId w:val="2"/>
        </w:numPr>
        <w:spacing w:after="156" w:afterLines="50" w:line="360" w:lineRule="exact"/>
        <w:ind w:firstLineChars="0"/>
        <w:rPr>
          <w:rFonts w:ascii="Times New Roman"/>
        </w:rPr>
      </w:pPr>
      <w:r>
        <w:rPr>
          <w:rFonts w:ascii="Times New Roman"/>
        </w:rPr>
        <w:t>饥饿、饱食、醉酒、大怒、大惊、过度疲劳、精神紧张者，不宜立即进行针刺或艾灸治疗；体质虚弱、气血亏损者，针刺操作手法不宜过重。</w:t>
      </w:r>
    </w:p>
    <w:p w14:paraId="19E3598E">
      <w:pPr>
        <w:pStyle w:val="27"/>
        <w:numPr>
          <w:ilvl w:val="0"/>
          <w:numId w:val="2"/>
        </w:numPr>
        <w:spacing w:before="312" w:beforeLines="100" w:after="312" w:afterLines="100" w:line="360" w:lineRule="exact"/>
        <w:outlineLvl w:val="0"/>
        <w:rPr>
          <w:rFonts w:ascii="Times New Roman" w:hAnsi="Times New Roman"/>
        </w:rPr>
      </w:pPr>
      <w:bookmarkStart w:id="32" w:name="_Toc27632"/>
      <w:r>
        <w:rPr>
          <w:rFonts w:ascii="Times New Roman" w:hAnsi="Times New Roman"/>
        </w:rPr>
        <w:t>禁忌症</w:t>
      </w:r>
      <w:bookmarkEnd w:id="32"/>
    </w:p>
    <w:p w14:paraId="41EF5921">
      <w:pPr>
        <w:pStyle w:val="26"/>
        <w:numPr>
          <w:ilvl w:val="1"/>
          <w:numId w:val="2"/>
        </w:numPr>
        <w:spacing w:after="156" w:afterLines="50" w:line="360" w:lineRule="exact"/>
        <w:ind w:firstLineChars="0"/>
        <w:rPr>
          <w:rFonts w:ascii="Times New Roman"/>
        </w:rPr>
      </w:pPr>
      <w:r>
        <w:rPr>
          <w:rFonts w:ascii="Times New Roman"/>
        </w:rPr>
        <w:t>孕妇不宜针刺或艾灸下腹部、腰骶部等对胎孕反应敏感的腧穴。</w:t>
      </w:r>
    </w:p>
    <w:p w14:paraId="163B17D7">
      <w:pPr>
        <w:pStyle w:val="26"/>
        <w:numPr>
          <w:ilvl w:val="1"/>
          <w:numId w:val="2"/>
        </w:numPr>
        <w:spacing w:after="156" w:afterLines="50" w:line="360" w:lineRule="exact"/>
        <w:ind w:firstLineChars="0"/>
        <w:rPr>
          <w:rFonts w:ascii="Times New Roman"/>
        </w:rPr>
      </w:pPr>
      <w:r>
        <w:rPr>
          <w:rFonts w:ascii="Times New Roman"/>
        </w:rPr>
        <w:t>皮肤有感染、溃疡、瘢痕或肿瘤部位，均不应在患部直接针刺或艾灸。</w:t>
      </w:r>
    </w:p>
    <w:p w14:paraId="740E4634">
      <w:pPr>
        <w:pStyle w:val="26"/>
        <w:numPr>
          <w:ilvl w:val="1"/>
          <w:numId w:val="2"/>
        </w:numPr>
        <w:spacing w:after="156" w:afterLines="50" w:line="360" w:lineRule="exact"/>
        <w:ind w:firstLineChars="0"/>
        <w:rPr>
          <w:rFonts w:ascii="Times New Roman"/>
        </w:rPr>
      </w:pPr>
      <w:r>
        <w:rPr>
          <w:rFonts w:ascii="Times New Roman"/>
        </w:rPr>
        <w:t>有凝血机制障碍的患者，应禁用针刺。</w:t>
      </w:r>
    </w:p>
    <w:p w14:paraId="62A83472">
      <w:pPr>
        <w:pStyle w:val="26"/>
        <w:tabs>
          <w:tab w:val="center" w:pos="4201"/>
          <w:tab w:val="right" w:leader="dot" w:pos="9298"/>
        </w:tabs>
        <w:spacing w:line="360" w:lineRule="exact"/>
        <w:ind w:firstLine="420"/>
        <w:rPr>
          <w:rFonts w:ascii="Times New Roman"/>
          <w:color w:val="000000"/>
        </w:rPr>
      </w:pPr>
    </w:p>
    <w:p w14:paraId="69F0E77B">
      <w:pPr>
        <w:widowControl/>
        <w:rPr>
          <w:rFonts w:ascii="Times New Roman" w:hAnsi="Times New Roman" w:eastAsia="黑体"/>
          <w:i/>
          <w:kern w:val="0"/>
          <w:sz w:val="20"/>
          <w:szCs w:val="21"/>
        </w:rPr>
      </w:pPr>
    </w:p>
    <w:p w14:paraId="5B25B780">
      <w:pPr>
        <w:jc w:val="center"/>
        <w:rPr>
          <w:rFonts w:ascii="Times New Roman" w:hAnsi="Times New Roman" w:eastAsia="黑体"/>
          <w:kern w:val="0"/>
          <w:szCs w:val="21"/>
        </w:rPr>
      </w:pPr>
      <w:r>
        <w:rPr>
          <w:rFonts w:ascii="Times New Roman" w:hAnsi="Times New Roman" w:eastAsia="黑体"/>
          <w:kern w:val="0"/>
          <w:szCs w:val="21"/>
        </w:rPr>
        <w:br w:type="page"/>
      </w:r>
    </w:p>
    <w:p w14:paraId="50FDA0A3">
      <w:pPr>
        <w:jc w:val="center"/>
        <w:rPr>
          <w:rFonts w:ascii="Times New Roman" w:hAnsi="Times New Roman" w:eastAsia="黑体"/>
          <w:kern w:val="0"/>
          <w:szCs w:val="21"/>
        </w:rPr>
        <w:sectPr>
          <w:footerReference r:id="rId14" w:type="default"/>
          <w:type w:val="continuous"/>
          <w:pgSz w:w="11906" w:h="16838"/>
          <w:pgMar w:top="1440" w:right="1800" w:bottom="1440" w:left="1800" w:header="851" w:footer="992" w:gutter="0"/>
          <w:pgNumType w:start="1"/>
          <w:cols w:space="720" w:num="1"/>
          <w:docGrid w:type="linesAndChars" w:linePitch="312" w:charSpace="0"/>
        </w:sectPr>
      </w:pPr>
    </w:p>
    <w:p w14:paraId="00A41664">
      <w:pPr>
        <w:pStyle w:val="2"/>
        <w:spacing w:before="0" w:after="0" w:line="240" w:lineRule="auto"/>
        <w:jc w:val="center"/>
        <w:rPr>
          <w:rFonts w:hint="eastAsia" w:ascii="黑体" w:hAnsi="黑体" w:eastAsia="黑体"/>
          <w:kern w:val="0"/>
          <w:sz w:val="21"/>
          <w:szCs w:val="21"/>
        </w:rPr>
      </w:pPr>
      <w:bookmarkStart w:id="33" w:name="_Toc16739"/>
      <w:r>
        <w:rPr>
          <w:rFonts w:ascii="黑体" w:hAnsi="黑体" w:eastAsia="黑体"/>
          <w:kern w:val="0"/>
          <w:sz w:val="21"/>
          <w:szCs w:val="21"/>
        </w:rPr>
        <w:t>附 录 A</w:t>
      </w:r>
      <w:bookmarkEnd w:id="33"/>
    </w:p>
    <w:p w14:paraId="31FBBA9E">
      <w:pPr>
        <w:jc w:val="center"/>
        <w:rPr>
          <w:rFonts w:ascii="Times New Roman" w:hAnsi="Times New Roman" w:eastAsia="黑体"/>
          <w:kern w:val="0"/>
          <w:szCs w:val="21"/>
        </w:rPr>
      </w:pPr>
      <w:r>
        <w:rPr>
          <w:rFonts w:ascii="Times New Roman" w:hAnsi="Times New Roman" w:eastAsia="黑体"/>
          <w:kern w:val="0"/>
          <w:szCs w:val="21"/>
        </w:rPr>
        <w:t>（</w:t>
      </w:r>
      <w:bookmarkStart w:id="34" w:name="_Hlk92788726"/>
      <w:r>
        <w:rPr>
          <w:rFonts w:ascii="Times New Roman" w:hAnsi="Times New Roman" w:eastAsia="黑体"/>
          <w:kern w:val="0"/>
          <w:szCs w:val="21"/>
        </w:rPr>
        <w:t>资料性</w:t>
      </w:r>
      <w:bookmarkEnd w:id="34"/>
      <w:r>
        <w:rPr>
          <w:rFonts w:ascii="Times New Roman" w:hAnsi="Times New Roman" w:eastAsia="黑体"/>
          <w:kern w:val="0"/>
          <w:szCs w:val="21"/>
        </w:rPr>
        <w:t>）</w:t>
      </w:r>
    </w:p>
    <w:p w14:paraId="21331365">
      <w:pPr>
        <w:jc w:val="center"/>
        <w:rPr>
          <w:rFonts w:ascii="Times New Roman" w:hAnsi="Times New Roman" w:eastAsia="黑体"/>
          <w:kern w:val="0"/>
          <w:szCs w:val="21"/>
        </w:rPr>
      </w:pPr>
      <w:r>
        <w:rPr>
          <w:rFonts w:ascii="Times New Roman" w:hAnsi="Times New Roman" w:eastAsia="黑体"/>
          <w:kern w:val="0"/>
          <w:szCs w:val="21"/>
        </w:rPr>
        <w:t>腧穴定位及操作</w:t>
      </w:r>
    </w:p>
    <w:p w14:paraId="3F7BE06C">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 足三里</w:t>
      </w:r>
    </w:p>
    <w:p w14:paraId="0E5D5F73">
      <w:pPr>
        <w:ind w:firstLine="420" w:firstLineChars="200"/>
        <w:rPr>
          <w:rFonts w:ascii="Times New Roman" w:hAnsi="Times New Roman"/>
        </w:rPr>
      </w:pPr>
      <w:r>
        <w:rPr>
          <w:rFonts w:ascii="Times New Roman" w:hAnsi="Times New Roman"/>
          <w:color w:val="000000" w:themeColor="text1"/>
          <w:szCs w:val="21"/>
          <w14:textFill>
            <w14:solidFill>
              <w14:schemeClr w14:val="tx1"/>
            </w14:solidFill>
          </w14:textFill>
        </w:rPr>
        <w:t>属足阳明胃经。犊鼻下3寸，犊鼻与解溪的连线上。</w:t>
      </w:r>
      <w:r>
        <w:rPr>
          <w:rFonts w:ascii="Times New Roman" w:hAnsi="Times New Roman"/>
        </w:rPr>
        <w:t>直刺1～2寸。</w:t>
      </w:r>
    </w:p>
    <w:p w14:paraId="2F23703B">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A.2 三阴交</w:t>
      </w:r>
    </w:p>
    <w:p w14:paraId="7D955CC6">
      <w:pPr>
        <w:spacing w:after="156" w:afterLines="50" w:line="360" w:lineRule="exact"/>
        <w:ind w:firstLine="420" w:firstLineChars="200"/>
        <w:rPr>
          <w:rFonts w:ascii="Times New Roman" w:hAnsi="Times New Roman"/>
        </w:rPr>
      </w:pPr>
      <w:r>
        <w:rPr>
          <w:rFonts w:ascii="Times New Roman" w:hAnsi="Times New Roman"/>
        </w:rPr>
        <w:t>属足太阴脾经。在小腿内侧，内踝尖上3寸，胫骨内侧缘后际。直刺1～1.5寸。</w:t>
      </w:r>
    </w:p>
    <w:p w14:paraId="661513DC">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A.3 八风</w:t>
      </w:r>
    </w:p>
    <w:p w14:paraId="51A7C98B">
      <w:pPr>
        <w:spacing w:after="156" w:afterLines="50" w:line="360" w:lineRule="exact"/>
        <w:ind w:firstLine="420" w:firstLineChars="200"/>
        <w:rPr>
          <w:rFonts w:ascii="Times New Roman" w:hAnsi="Times New Roman"/>
        </w:rPr>
      </w:pPr>
      <w:r>
        <w:rPr>
          <w:rFonts w:ascii="Times New Roman" w:hAnsi="Times New Roman"/>
        </w:rPr>
        <w:t>属经外奇穴。在足背，第1～5趾间，趾蹼缘后际赤白肉际处，左右共8穴。斜刺0.5～0.8寸。</w:t>
      </w:r>
    </w:p>
    <w:p w14:paraId="2CEBC58B">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A.4 胰俞（胃脘下俞）</w:t>
      </w:r>
    </w:p>
    <w:p w14:paraId="6C063C7C">
      <w:pPr>
        <w:spacing w:after="156" w:afterLines="50" w:line="360" w:lineRule="exact"/>
        <w:ind w:firstLine="420" w:firstLineChars="200"/>
        <w:rPr>
          <w:rFonts w:ascii="Times New Roman" w:hAnsi="Times New Roman"/>
        </w:rPr>
      </w:pPr>
      <w:r>
        <w:rPr>
          <w:rFonts w:ascii="Times New Roman" w:hAnsi="Times New Roman"/>
        </w:rPr>
        <w:t>属经外奇穴。在脊柱区，横平第8胸椎棘突下，后正中线旁开1.5寸。斜刺0.3～0.8寸。</w:t>
      </w:r>
    </w:p>
    <w:p w14:paraId="464B5CD4">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A.5 肝俞</w:t>
      </w:r>
    </w:p>
    <w:p w14:paraId="54350D8D">
      <w:pPr>
        <w:spacing w:after="156" w:afterLines="50" w:line="360" w:lineRule="exact"/>
        <w:ind w:firstLine="420" w:firstLineChars="200"/>
        <w:rPr>
          <w:rFonts w:ascii="Times New Roman" w:hAnsi="Times New Roman"/>
        </w:rPr>
      </w:pPr>
      <w:r>
        <w:rPr>
          <w:rFonts w:ascii="Times New Roman" w:hAnsi="Times New Roman"/>
        </w:rPr>
        <w:t>属足太阳膀胱经。在背部，第9胸椎棘突下，后正中线旁开1.5寸。斜刺0.5～0.8寸。</w:t>
      </w:r>
    </w:p>
    <w:p w14:paraId="1255C094">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A.6 脾俞</w:t>
      </w:r>
    </w:p>
    <w:p w14:paraId="7EC9A5E2">
      <w:pPr>
        <w:spacing w:after="156" w:afterLines="50" w:line="360" w:lineRule="exact"/>
        <w:ind w:firstLine="420" w:firstLineChars="200"/>
        <w:rPr>
          <w:rFonts w:ascii="Times New Roman" w:hAnsi="Times New Roman"/>
        </w:rPr>
      </w:pPr>
      <w:r>
        <w:rPr>
          <w:rFonts w:ascii="Times New Roman" w:hAnsi="Times New Roman"/>
        </w:rPr>
        <w:t>属足太阳膀胱经。在背部，第11胸椎棘突下，后正中线旁开1.5寸。斜刺0.5～0.8寸。</w:t>
      </w:r>
    </w:p>
    <w:p w14:paraId="18EDD12E">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A.7 肾俞</w:t>
      </w:r>
    </w:p>
    <w:p w14:paraId="767E91C6">
      <w:pPr>
        <w:spacing w:after="156" w:afterLines="50" w:line="360" w:lineRule="exact"/>
        <w:ind w:firstLine="420" w:firstLineChars="200"/>
        <w:rPr>
          <w:rFonts w:ascii="Times New Roman" w:hAnsi="Times New Roman"/>
        </w:rPr>
      </w:pPr>
      <w:r>
        <w:rPr>
          <w:rFonts w:ascii="Times New Roman" w:hAnsi="Times New Roman"/>
        </w:rPr>
        <w:t>属足太阳膀胱经。在腰部，第2腰椎棘突下，后正中线旁开1.5寸。直刺0.5～1寸。</w:t>
      </w:r>
    </w:p>
    <w:p w14:paraId="70AB3E61">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A.8 梁门</w:t>
      </w:r>
    </w:p>
    <w:p w14:paraId="74850D57">
      <w:pPr>
        <w:spacing w:after="156" w:afterLines="50" w:line="360" w:lineRule="exact"/>
        <w:ind w:firstLine="420" w:firstLineChars="200"/>
        <w:rPr>
          <w:rFonts w:ascii="Times New Roman" w:hAnsi="Times New Roman"/>
        </w:rPr>
      </w:pPr>
      <w:r>
        <w:rPr>
          <w:rFonts w:ascii="Times New Roman" w:hAnsi="Times New Roman"/>
          <w:color w:val="000000" w:themeColor="text1"/>
          <w:szCs w:val="21"/>
          <w14:textFill>
            <w14:solidFill>
              <w14:schemeClr w14:val="tx1"/>
            </w14:solidFill>
          </w14:textFill>
        </w:rPr>
        <w:t>属足阳明胃经。</w:t>
      </w:r>
      <w:r>
        <w:rPr>
          <w:rFonts w:ascii="Times New Roman" w:hAnsi="Times New Roman"/>
        </w:rPr>
        <w:t>在上腹部，脐中上4寸，前正中线旁开2寸。直刺0.8～1.2寸。</w:t>
      </w:r>
    </w:p>
    <w:p w14:paraId="2F5DB76C">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A.9 中脘</w:t>
      </w:r>
    </w:p>
    <w:p w14:paraId="3952649B">
      <w:pPr>
        <w:spacing w:after="156" w:afterLines="50" w:line="360" w:lineRule="exact"/>
        <w:ind w:firstLine="420" w:firstLineChars="200"/>
        <w:rPr>
          <w:rFonts w:ascii="Times New Roman" w:hAnsi="Times New Roman"/>
        </w:rPr>
      </w:pPr>
      <w:r>
        <w:rPr>
          <w:rFonts w:ascii="Times New Roman" w:hAnsi="Times New Roman"/>
        </w:rPr>
        <w:t>属任脉。在上腹部，脐中上4寸，前正中线上。直刺1～1.5寸。</w:t>
      </w:r>
    </w:p>
    <w:p w14:paraId="36E62BC7">
      <w:pPr>
        <w:pStyle w:val="27"/>
        <w:numPr>
          <w:ilvl w:val="1"/>
          <w:numId w:val="0"/>
        </w:numPr>
        <w:spacing w:before="312" w:beforeLines="100" w:after="312" w:afterLines="100" w:line="360" w:lineRule="exact"/>
        <w:outlineLvl w:val="9"/>
        <w:rPr>
          <w:rFonts w:ascii="Times New Roman" w:hAnsi="Times New Roman"/>
        </w:rPr>
      </w:pPr>
      <w:r>
        <w:rPr>
          <w:rFonts w:hint="eastAsia" w:ascii="Times New Roman" w:hAnsi="Times New Roman"/>
        </w:rPr>
        <w:t>A.10 合谷</w:t>
      </w:r>
    </w:p>
    <w:p w14:paraId="606C5631">
      <w:pPr>
        <w:spacing w:after="156" w:afterLines="50" w:line="360" w:lineRule="exact"/>
        <w:ind w:firstLine="4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属手阳明大肠经。在手背，第一掌骨和第二掌骨之间，约平第2掌骨桡侧的中点。直刺0.5~1.0寸</w:t>
      </w:r>
      <w:r>
        <w:rPr>
          <w:rFonts w:hint="eastAsia" w:ascii="Times New Roman" w:hAnsi="Times New Roman"/>
          <w:color w:val="000000" w:themeColor="text1"/>
          <w:szCs w:val="21"/>
          <w14:textFill>
            <w14:solidFill>
              <w14:schemeClr w14:val="tx1"/>
            </w14:solidFill>
          </w14:textFill>
        </w:rPr>
        <w:t>。</w:t>
      </w:r>
    </w:p>
    <w:p w14:paraId="2EC9A5BD">
      <w:pPr>
        <w:pStyle w:val="27"/>
        <w:numPr>
          <w:ilvl w:val="1"/>
          <w:numId w:val="0"/>
        </w:numPr>
        <w:spacing w:before="312" w:beforeLines="100" w:after="312" w:afterLines="100" w:line="360" w:lineRule="exact"/>
        <w:outlineLvl w:val="9"/>
        <w:rPr>
          <w:rFonts w:ascii="Times New Roman" w:hAnsi="Times New Roman"/>
        </w:rPr>
      </w:pPr>
      <w:r>
        <w:rPr>
          <w:rFonts w:hint="eastAsia" w:ascii="Times New Roman"/>
        </w:rPr>
        <w:t xml:space="preserve">A.11 </w:t>
      </w:r>
      <w:r>
        <w:rPr>
          <w:rFonts w:ascii="Times New Roman" w:hAnsi="Times New Roman"/>
        </w:rPr>
        <w:t>太冲</w:t>
      </w:r>
    </w:p>
    <w:p w14:paraId="01789E34">
      <w:pPr>
        <w:spacing w:after="156" w:afterLines="50" w:line="36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属足厥阴肝经。在足背，第1、2跖骨间，跖骨底结合部前方凹陷中，或触及动脉搏动。直刺0.5～1寸</w:t>
      </w:r>
    </w:p>
    <w:p w14:paraId="28EA54E5">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2</w:t>
      </w:r>
      <w:r>
        <w:rPr>
          <w:rFonts w:ascii="Times New Roman" w:hAnsi="Times New Roman"/>
        </w:rPr>
        <w:t xml:space="preserve"> 丰隆</w:t>
      </w:r>
    </w:p>
    <w:p w14:paraId="40C78CB7">
      <w:pPr>
        <w:spacing w:after="156" w:afterLines="50" w:line="360" w:lineRule="exact"/>
        <w:ind w:firstLine="420" w:firstLineChars="200"/>
        <w:rPr>
          <w:rFonts w:ascii="Times New Roman" w:hAnsi="Times New Roman"/>
        </w:rPr>
      </w:pPr>
      <w:r>
        <w:rPr>
          <w:rFonts w:ascii="Times New Roman" w:hAnsi="Times New Roman"/>
          <w:color w:val="000000" w:themeColor="text1"/>
          <w:szCs w:val="21"/>
          <w14:textFill>
            <w14:solidFill>
              <w14:schemeClr w14:val="tx1"/>
            </w14:solidFill>
          </w14:textFill>
        </w:rPr>
        <w:t>属足阳明胃经。</w:t>
      </w:r>
      <w:r>
        <w:rPr>
          <w:rFonts w:ascii="Times New Roman" w:hAnsi="Times New Roman"/>
        </w:rPr>
        <w:t>在小腿外侧，外踝尖上8寸，胫骨前肌的外缘。直刺1～1.5寸。</w:t>
      </w:r>
    </w:p>
    <w:p w14:paraId="426E12CF">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3</w:t>
      </w:r>
      <w:r>
        <w:rPr>
          <w:rFonts w:ascii="Times New Roman" w:hAnsi="Times New Roman"/>
        </w:rPr>
        <w:t xml:space="preserve"> 解溪</w:t>
      </w:r>
    </w:p>
    <w:p w14:paraId="13D4703C">
      <w:pPr>
        <w:spacing w:after="156" w:afterLines="50" w:line="360" w:lineRule="exact"/>
        <w:ind w:firstLine="420" w:firstLineChars="200"/>
        <w:rPr>
          <w:rFonts w:ascii="Times New Roman" w:hAnsi="Times New Roman"/>
        </w:rPr>
      </w:pPr>
      <w:r>
        <w:rPr>
          <w:rFonts w:ascii="Times New Roman" w:hAnsi="Times New Roman"/>
          <w:color w:val="000000" w:themeColor="text1"/>
          <w:szCs w:val="21"/>
          <w14:textFill>
            <w14:solidFill>
              <w14:schemeClr w14:val="tx1"/>
            </w14:solidFill>
          </w14:textFill>
        </w:rPr>
        <w:t>属足阳明胃经。</w:t>
      </w:r>
      <w:r>
        <w:rPr>
          <w:rFonts w:ascii="Times New Roman" w:hAnsi="Times New Roman"/>
        </w:rPr>
        <w:t>在踝前侧，踝关节前面中央凹陷中，</w:t>
      </w:r>
      <w:r>
        <w:rPr>
          <w:rFonts w:ascii="Times New Roman" w:hAnsi="Times New Roman" w:eastAsia="微软雅黑"/>
        </w:rPr>
        <w:t>𧿹</w:t>
      </w:r>
      <w:r>
        <w:rPr>
          <w:rFonts w:ascii="Times New Roman" w:hAnsi="Times New Roman"/>
        </w:rPr>
        <w:t>长伸肌腱与趾长伸肌腱之间。直刺0.5～1寸。</w:t>
      </w:r>
    </w:p>
    <w:p w14:paraId="57E269E3">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4</w:t>
      </w:r>
      <w:r>
        <w:rPr>
          <w:rFonts w:ascii="Times New Roman" w:hAnsi="Times New Roman"/>
        </w:rPr>
        <w:t xml:space="preserve"> 阳陵泉</w:t>
      </w:r>
    </w:p>
    <w:p w14:paraId="24051D3B">
      <w:pPr>
        <w:spacing w:after="156" w:afterLines="50" w:line="360" w:lineRule="exact"/>
        <w:ind w:firstLine="420" w:firstLineChars="200"/>
        <w:rPr>
          <w:rFonts w:ascii="Times New Roman" w:hAnsi="Times New Roman"/>
        </w:rPr>
      </w:pPr>
      <w:r>
        <w:rPr>
          <w:rFonts w:ascii="Times New Roman" w:hAnsi="Times New Roman"/>
        </w:rPr>
        <w:t>属足少阳胆经。在小腿外侧，腓骨头前下方凹陷中。直刺1～1.5寸。</w:t>
      </w:r>
    </w:p>
    <w:p w14:paraId="733F2C42">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5</w:t>
      </w:r>
      <w:r>
        <w:rPr>
          <w:rFonts w:ascii="Times New Roman" w:hAnsi="Times New Roman"/>
        </w:rPr>
        <w:t xml:space="preserve"> 足临泣</w:t>
      </w:r>
    </w:p>
    <w:p w14:paraId="5991D949">
      <w:pPr>
        <w:spacing w:after="156" w:afterLines="50" w:line="360" w:lineRule="exact"/>
        <w:ind w:firstLine="420" w:firstLineChars="200"/>
        <w:rPr>
          <w:rFonts w:ascii="Times New Roman" w:hAnsi="Times New Roman"/>
        </w:rPr>
      </w:pPr>
      <w:r>
        <w:rPr>
          <w:rFonts w:ascii="Times New Roman" w:hAnsi="Times New Roman"/>
        </w:rPr>
        <w:t>属足少阳胆经。在足背，第4，5跖骨底结合部前方，第5趾长伸肌腱外侧凹陷中。直刺0.3～0.5寸。</w:t>
      </w:r>
    </w:p>
    <w:p w14:paraId="4B49A25B">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6</w:t>
      </w:r>
      <w:r>
        <w:rPr>
          <w:rFonts w:ascii="Times New Roman" w:hAnsi="Times New Roman"/>
        </w:rPr>
        <w:t xml:space="preserve"> 承山</w:t>
      </w:r>
    </w:p>
    <w:p w14:paraId="62E658EB">
      <w:pPr>
        <w:spacing w:after="156" w:afterLines="50" w:line="360" w:lineRule="exact"/>
        <w:ind w:firstLine="420" w:firstLineChars="200"/>
        <w:rPr>
          <w:rFonts w:ascii="Times New Roman" w:hAnsi="Times New Roman"/>
        </w:rPr>
      </w:pPr>
      <w:r>
        <w:rPr>
          <w:rFonts w:ascii="Times New Roman" w:hAnsi="Times New Roman"/>
        </w:rPr>
        <w:t>属足太阳膀胱经。在小腿后侧，腓肠肌两肌腹与跟腱交角处。直刺1～2寸。</w:t>
      </w:r>
    </w:p>
    <w:p w14:paraId="39EE23BC">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7</w:t>
      </w:r>
      <w:r>
        <w:rPr>
          <w:rFonts w:ascii="Times New Roman" w:hAnsi="Times New Roman"/>
        </w:rPr>
        <w:t xml:space="preserve"> 昆仑</w:t>
      </w:r>
    </w:p>
    <w:p w14:paraId="7FDDC081">
      <w:pPr>
        <w:spacing w:after="156" w:afterLines="50" w:line="360" w:lineRule="exact"/>
        <w:ind w:firstLine="420" w:firstLineChars="200"/>
        <w:rPr>
          <w:rFonts w:ascii="Times New Roman" w:hAnsi="Times New Roman"/>
        </w:rPr>
      </w:pPr>
      <w:r>
        <w:rPr>
          <w:rFonts w:ascii="Times New Roman" w:hAnsi="Times New Roman"/>
        </w:rPr>
        <w:t>属足太阳膀胱经。在踝后外侧，外踝尖与跟腱之间的凹陷中。直刺0.5～0.8寸。</w:t>
      </w:r>
    </w:p>
    <w:p w14:paraId="792F1390">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8</w:t>
      </w:r>
      <w:r>
        <w:rPr>
          <w:rFonts w:ascii="Times New Roman" w:hAnsi="Times New Roman"/>
        </w:rPr>
        <w:t xml:space="preserve"> 阴陵泉</w:t>
      </w:r>
    </w:p>
    <w:p w14:paraId="1E0E8183">
      <w:pPr>
        <w:spacing w:after="156" w:afterLines="50" w:line="360" w:lineRule="exact"/>
        <w:ind w:firstLine="420" w:firstLineChars="200"/>
        <w:rPr>
          <w:rFonts w:ascii="Times New Roman" w:hAnsi="Times New Roman"/>
        </w:rPr>
      </w:pPr>
      <w:r>
        <w:rPr>
          <w:rFonts w:ascii="Times New Roman" w:hAnsi="Times New Roman"/>
        </w:rPr>
        <w:t>属足太阴脾经。在小腿内侧，由胫骨内侧髁下缘与胫骨内侧缘形成的凹陷中。直刺1～2寸。</w:t>
      </w:r>
    </w:p>
    <w:p w14:paraId="2D8B3E5B">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A.1</w:t>
      </w:r>
      <w:r>
        <w:rPr>
          <w:rFonts w:hint="eastAsia" w:ascii="Times New Roman" w:hAnsi="Times New Roman"/>
        </w:rPr>
        <w:t>9</w:t>
      </w:r>
      <w:r>
        <w:rPr>
          <w:rFonts w:ascii="Times New Roman" w:hAnsi="Times New Roman"/>
        </w:rPr>
        <w:t xml:space="preserve"> 太白</w:t>
      </w:r>
    </w:p>
    <w:p w14:paraId="51E3F2A3">
      <w:pPr>
        <w:spacing w:after="156" w:afterLines="50" w:line="360" w:lineRule="exact"/>
        <w:ind w:firstLine="420" w:firstLineChars="200"/>
        <w:rPr>
          <w:rFonts w:ascii="Times New Roman" w:hAnsi="Times New Roman"/>
        </w:rPr>
      </w:pPr>
      <w:r>
        <w:rPr>
          <w:rFonts w:ascii="Times New Roman" w:hAnsi="Times New Roman"/>
        </w:rPr>
        <w:t>属足太阴脾经。在跖区，第一跖趾关节近端赤白肉际凹陷中。直刺0.5～0.8寸。</w:t>
      </w:r>
    </w:p>
    <w:p w14:paraId="30E03F4B">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w:t>
      </w:r>
      <w:r>
        <w:rPr>
          <w:rFonts w:hint="eastAsia" w:ascii="Times New Roman" w:hAnsi="Times New Roman"/>
        </w:rPr>
        <w:t>20</w:t>
      </w:r>
      <w:r>
        <w:rPr>
          <w:rFonts w:ascii="Times New Roman" w:hAnsi="Times New Roman"/>
        </w:rPr>
        <w:t xml:space="preserve"> 曲泉</w:t>
      </w:r>
    </w:p>
    <w:p w14:paraId="25E8DF30">
      <w:pPr>
        <w:spacing w:after="156" w:afterLines="50" w:line="360" w:lineRule="exact"/>
        <w:ind w:firstLine="420" w:firstLineChars="200"/>
        <w:rPr>
          <w:rFonts w:ascii="Times New Roman" w:hAnsi="Times New Roman"/>
        </w:rPr>
      </w:pPr>
      <w:r>
        <w:rPr>
          <w:rFonts w:ascii="Times New Roman" w:hAnsi="Times New Roman"/>
        </w:rPr>
        <w:t>属足厥阴肝经。在膝内侧，腘横纹内侧端，半腱肌肌腱内缘凹陷中。直刺1～1.5寸。</w:t>
      </w:r>
    </w:p>
    <w:p w14:paraId="71C6FE17">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w:t>
      </w:r>
      <w:r>
        <w:rPr>
          <w:rFonts w:hint="eastAsia" w:ascii="Times New Roman" w:hAnsi="Times New Roman"/>
        </w:rPr>
        <w:t>21</w:t>
      </w:r>
      <w:r>
        <w:rPr>
          <w:rFonts w:ascii="Times New Roman" w:hAnsi="Times New Roman"/>
        </w:rPr>
        <w:t xml:space="preserve"> </w:t>
      </w:r>
      <w:r>
        <w:rPr>
          <w:rFonts w:hint="eastAsia" w:ascii="Times New Roman" w:hAnsi="Times New Roman"/>
        </w:rPr>
        <w:t>行间</w:t>
      </w:r>
    </w:p>
    <w:p w14:paraId="7A0EA765">
      <w:pPr>
        <w:spacing w:after="156" w:afterLines="50" w:line="360" w:lineRule="exact"/>
        <w:ind w:firstLine="420" w:firstLineChars="200"/>
        <w:rPr>
          <w:rFonts w:ascii="Times New Roman" w:hAnsi="Times New Roman"/>
        </w:rPr>
      </w:pPr>
      <w:r>
        <w:rPr>
          <w:rFonts w:ascii="Times New Roman" w:hAnsi="Times New Roman"/>
        </w:rPr>
        <w:t>属足厥阴肝经。在足背，第1、2</w:t>
      </w:r>
      <w:r>
        <w:rPr>
          <w:rFonts w:hint="eastAsia" w:ascii="Times New Roman" w:hAnsi="Times New Roman"/>
        </w:rPr>
        <w:t>趾</w:t>
      </w:r>
      <w:r>
        <w:rPr>
          <w:rFonts w:ascii="Times New Roman" w:hAnsi="Times New Roman"/>
        </w:rPr>
        <w:t>间，</w:t>
      </w:r>
      <w:r>
        <w:rPr>
          <w:rFonts w:hint="eastAsia" w:ascii="Times New Roman" w:hAnsi="Times New Roman"/>
        </w:rPr>
        <w:t>趾蹼缘后方赤白肉际处</w:t>
      </w:r>
      <w:r>
        <w:rPr>
          <w:rFonts w:ascii="Times New Roman" w:hAnsi="Times New Roman"/>
        </w:rPr>
        <w:t>。</w:t>
      </w:r>
      <w:r>
        <w:rPr>
          <w:rFonts w:hint="eastAsia" w:ascii="Times New Roman" w:hAnsi="Times New Roman"/>
        </w:rPr>
        <w:t>略向上斜刺该穴0.5-1寸</w:t>
      </w:r>
      <w:r>
        <w:rPr>
          <w:rFonts w:ascii="Times New Roman" w:hAnsi="Times New Roman"/>
        </w:rPr>
        <w:t>。</w:t>
      </w:r>
    </w:p>
    <w:p w14:paraId="1F38D564">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A.2</w:t>
      </w:r>
      <w:r>
        <w:rPr>
          <w:rFonts w:hint="eastAsia" w:ascii="Times New Roman" w:hAnsi="Times New Roman"/>
        </w:rPr>
        <w:t>2</w:t>
      </w:r>
      <w:r>
        <w:rPr>
          <w:rFonts w:ascii="Times New Roman" w:hAnsi="Times New Roman"/>
        </w:rPr>
        <w:t xml:space="preserve"> 太溪</w:t>
      </w:r>
    </w:p>
    <w:p w14:paraId="625F0F01">
      <w:pPr>
        <w:spacing w:after="156" w:afterLines="50" w:line="360" w:lineRule="exact"/>
        <w:ind w:firstLine="420" w:firstLineChars="200"/>
        <w:rPr>
          <w:rFonts w:ascii="Times New Roman" w:hAnsi="Times New Roman"/>
        </w:rPr>
      </w:pPr>
      <w:r>
        <w:rPr>
          <w:rFonts w:ascii="Times New Roman" w:hAnsi="Times New Roman"/>
        </w:rPr>
        <w:t>属足少阴肾经。在踝后内侧，内踝尖与跟腱之间的凹陷中。直刺0.5～1寸</w:t>
      </w:r>
    </w:p>
    <w:p w14:paraId="73CF839C">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A.2</w:t>
      </w:r>
      <w:r>
        <w:rPr>
          <w:rFonts w:hint="eastAsia" w:ascii="Times New Roman" w:hAnsi="Times New Roman"/>
        </w:rPr>
        <w:t>3</w:t>
      </w:r>
      <w:r>
        <w:rPr>
          <w:rFonts w:ascii="Times New Roman" w:hAnsi="Times New Roman"/>
        </w:rPr>
        <w:t xml:space="preserve"> 然谷</w:t>
      </w:r>
    </w:p>
    <w:p w14:paraId="7AF8E73D">
      <w:pPr>
        <w:spacing w:after="156" w:afterLines="50" w:line="360" w:lineRule="exact"/>
        <w:ind w:firstLine="420" w:firstLineChars="200"/>
        <w:rPr>
          <w:rFonts w:ascii="Times New Roman" w:hAnsi="Times New Roman"/>
        </w:rPr>
      </w:pPr>
      <w:r>
        <w:rPr>
          <w:rFonts w:ascii="Times New Roman" w:hAnsi="Times New Roman"/>
        </w:rPr>
        <w:t>属足少阴肾经。在足内侧，足舟骨粗隆下方，赤白肉际处。直刺0.5～1寸</w:t>
      </w:r>
    </w:p>
    <w:p w14:paraId="39CBFAD5">
      <w:pPr>
        <w:pStyle w:val="27"/>
        <w:numPr>
          <w:ilvl w:val="1"/>
          <w:numId w:val="0"/>
        </w:numPr>
        <w:spacing w:before="312" w:beforeLines="100" w:after="312" w:afterLines="100" w:line="360" w:lineRule="exact"/>
        <w:outlineLvl w:val="9"/>
        <w:rPr>
          <w:rFonts w:ascii="Times New Roman" w:hAnsi="Times New Roman"/>
        </w:rPr>
      </w:pPr>
      <w:r>
        <w:rPr>
          <w:rFonts w:ascii="Times New Roman" w:hAnsi="Times New Roman"/>
        </w:rPr>
        <w:t>A.2</w:t>
      </w:r>
      <w:r>
        <w:rPr>
          <w:rFonts w:hint="eastAsia" w:ascii="Times New Roman" w:hAnsi="Times New Roman"/>
        </w:rPr>
        <w:t>4</w:t>
      </w:r>
      <w:r>
        <w:rPr>
          <w:rFonts w:ascii="Times New Roman" w:hAnsi="Times New Roman"/>
        </w:rPr>
        <w:t xml:space="preserve"> 八邪</w:t>
      </w:r>
    </w:p>
    <w:p w14:paraId="616297F7">
      <w:pPr>
        <w:spacing w:after="156" w:afterLines="50" w:line="360" w:lineRule="exact"/>
        <w:ind w:firstLine="420" w:firstLineChars="200"/>
        <w:rPr>
          <w:rFonts w:ascii="Times New Roman" w:hAnsi="Times New Roman"/>
        </w:rPr>
      </w:pPr>
      <w:r>
        <w:rPr>
          <w:rFonts w:ascii="Times New Roman" w:hAnsi="Times New Roman"/>
        </w:rPr>
        <w:t>属经外奇穴。在手背，第1～5指间，指蹼缘后方赤白肉际处，所左右共8穴。斜刺0.5～0.8寸。</w:t>
      </w:r>
    </w:p>
    <w:p w14:paraId="1E6CCFBA">
      <w:pPr>
        <w:pStyle w:val="28"/>
        <w:outlineLvl w:val="9"/>
        <w:rPr>
          <w:rFonts w:ascii="Times New Roman"/>
          <w:sz w:val="21"/>
          <w:szCs w:val="21"/>
        </w:rPr>
      </w:pPr>
      <w:bookmarkStart w:id="35" w:name="_Toc509933873"/>
      <w:bookmarkStart w:id="36" w:name="_Toc510534552"/>
    </w:p>
    <w:p w14:paraId="4F69C2C0">
      <w:pPr>
        <w:widowControl/>
        <w:jc w:val="left"/>
        <w:rPr>
          <w:rFonts w:ascii="Times New Roman" w:hAnsi="Times New Roman" w:eastAsia="黑体"/>
          <w:kern w:val="0"/>
          <w:szCs w:val="21"/>
        </w:rPr>
      </w:pPr>
      <w:r>
        <w:rPr>
          <w:rFonts w:ascii="Times New Roman" w:hAnsi="Times New Roman"/>
          <w:szCs w:val="21"/>
        </w:rPr>
        <w:br w:type="page"/>
      </w:r>
    </w:p>
    <w:p w14:paraId="276111B9">
      <w:pPr>
        <w:pStyle w:val="28"/>
        <w:spacing w:before="0" w:after="0"/>
        <w:rPr>
          <w:rFonts w:ascii="Times New Roman"/>
          <w:sz w:val="21"/>
          <w:szCs w:val="21"/>
        </w:rPr>
      </w:pPr>
      <w:bookmarkStart w:id="37" w:name="_Toc18256"/>
      <w:r>
        <w:rPr>
          <w:rFonts w:ascii="Times New Roman"/>
          <w:sz w:val="21"/>
          <w:szCs w:val="21"/>
        </w:rPr>
        <w:t>参 考 文 献</w:t>
      </w:r>
      <w:bookmarkEnd w:id="35"/>
      <w:bookmarkEnd w:id="36"/>
      <w:bookmarkEnd w:id="37"/>
    </w:p>
    <w:p w14:paraId="2ECB1502">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 xml:space="preserve">中华医学会糖尿病学分会. 中国糖尿病防治指南（2024版）[J]. 中华糖尿病杂志, 2025, 17(01):16-139. </w:t>
      </w:r>
    </w:p>
    <w:p w14:paraId="3FF1C56E">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中华中医药学会糖尿病分会. 糖尿病周围神经病变中医临床诊疗指南（2016年版）[J]. 中医杂志, 2017, 58(07):625-630.</w:t>
      </w:r>
    </w:p>
    <w:p w14:paraId="392FEB09">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中国医师协会中西医结合医师分会内分泌与代谢病学专业委员会. 糖尿病周围神经病变病证结合诊疗指南[J]. 中医杂志, 2021, 62(18):1648-1656.</w:t>
      </w:r>
    </w:p>
    <w:p w14:paraId="7E5880CC">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中国针灸学会. 循证针灸临床实践指南：糖尿病周围神经病变[M]. 北京: 中国中医药出版社, 2015.</w:t>
      </w:r>
    </w:p>
    <w:p w14:paraId="511A761E">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裴建, 陆焱垚, 陈宇杰, 等. 陆氏针灸源流及主要学术思想[J]. 上海针灸杂志, 2016, 35(04):388-391.</w:t>
      </w:r>
    </w:p>
    <w:p w14:paraId="7F323589">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舒予, 裴建, 高正, 等. 陆氏针灸流派治疗糖尿病周围神经病变经验[J]. 中华中医药杂志, 2021, 36(05):2763-2765.</w:t>
      </w:r>
    </w:p>
    <w:p w14:paraId="443CC467">
      <w:pPr>
        <w:pStyle w:val="36"/>
        <w:numPr>
          <w:ilvl w:val="0"/>
          <w:numId w:val="3"/>
        </w:numPr>
        <w:spacing w:line="360" w:lineRule="exact"/>
        <w:ind w:firstLineChars="0"/>
        <w:rPr>
          <w:rFonts w:ascii="Times New Roman" w:hAnsi="Times New Roman" w:eastAsiaTheme="minorEastAsia"/>
          <w:szCs w:val="21"/>
        </w:rPr>
      </w:pPr>
      <w:r>
        <w:rPr>
          <w:rFonts w:ascii="Times New Roman" w:hAnsi="Times New Roman" w:eastAsiaTheme="minorEastAsia"/>
          <w:szCs w:val="21"/>
        </w:rPr>
        <w:t>Deng H, Shu Y, Lv P, et al. Acupuncture for diabetic peripheral neuropathy: study protocol for a randomized, placebo-controlled trial[J]. Trials. 2020, 21(1):879.</w:t>
      </w:r>
    </w:p>
    <w:p w14:paraId="51F1B51B">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 xml:space="preserve">Hoerder S, Habermann IV, Hahn K, </w:t>
      </w:r>
      <w:r>
        <w:rPr>
          <w:rFonts w:hint="eastAsia" w:ascii="Times New Roman" w:hAnsi="Times New Roman" w:eastAsiaTheme="minorEastAsia"/>
          <w:szCs w:val="21"/>
        </w:rPr>
        <w:t>et al</w:t>
      </w:r>
      <w:r>
        <w:rPr>
          <w:rFonts w:ascii="Times New Roman" w:hAnsi="Times New Roman" w:eastAsiaTheme="minorEastAsia"/>
          <w:szCs w:val="21"/>
        </w:rPr>
        <w:t>. Acupuncture in diabetic peripheral neuropathy-neurological outcomes of the randomized acupuncture in diabetic peripheral neuropathy trial</w:t>
      </w:r>
      <w:r>
        <w:rPr>
          <w:rFonts w:hint="eastAsia" w:ascii="Times New Roman" w:hAnsi="Times New Roman" w:eastAsiaTheme="minorEastAsia"/>
          <w:szCs w:val="21"/>
        </w:rPr>
        <w:t>[J]</w:t>
      </w:r>
      <w:r>
        <w:rPr>
          <w:rFonts w:ascii="Times New Roman" w:hAnsi="Times New Roman" w:eastAsiaTheme="minorEastAsia"/>
          <w:szCs w:val="21"/>
        </w:rPr>
        <w:t>. World J Diabetes. 202</w:t>
      </w:r>
      <w:r>
        <w:rPr>
          <w:rFonts w:hint="eastAsia" w:ascii="Times New Roman" w:hAnsi="Times New Roman" w:eastAsiaTheme="minorEastAsia"/>
          <w:szCs w:val="21"/>
        </w:rPr>
        <w:t xml:space="preserve">3, </w:t>
      </w:r>
      <w:r>
        <w:rPr>
          <w:rFonts w:ascii="Times New Roman" w:hAnsi="Times New Roman" w:eastAsiaTheme="minorEastAsia"/>
          <w:szCs w:val="21"/>
        </w:rPr>
        <w:t>14(12):1813-1823. </w:t>
      </w:r>
    </w:p>
    <w:p w14:paraId="40BDB0EA">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 xml:space="preserve">Wang Z, Hou Y, Huang Y, </w:t>
      </w:r>
      <w:r>
        <w:rPr>
          <w:rFonts w:hint="eastAsia" w:ascii="Times New Roman" w:hAnsi="Times New Roman" w:eastAsiaTheme="minorEastAsia"/>
          <w:szCs w:val="21"/>
        </w:rPr>
        <w:t>et al</w:t>
      </w:r>
      <w:r>
        <w:rPr>
          <w:rFonts w:ascii="Times New Roman" w:hAnsi="Times New Roman" w:eastAsiaTheme="minorEastAsia"/>
          <w:szCs w:val="21"/>
        </w:rPr>
        <w:t>. Clinical efficacy and safety of electro-acupuncture combined with beraprost sodium and α-lipoic acid for diabetic peripheral neuropathy</w:t>
      </w:r>
      <w:r>
        <w:rPr>
          <w:rFonts w:hint="eastAsia" w:ascii="Times New Roman" w:hAnsi="Times New Roman" w:eastAsiaTheme="minorEastAsia"/>
          <w:szCs w:val="21"/>
        </w:rPr>
        <w:t>[J]</w:t>
      </w:r>
      <w:r>
        <w:rPr>
          <w:rFonts w:ascii="Times New Roman" w:hAnsi="Times New Roman" w:eastAsiaTheme="minorEastAsia"/>
          <w:szCs w:val="21"/>
        </w:rPr>
        <w:t>. Am J Transl Res. 2022</w:t>
      </w:r>
      <w:r>
        <w:rPr>
          <w:rFonts w:hint="eastAsia" w:ascii="Times New Roman" w:hAnsi="Times New Roman" w:eastAsiaTheme="minorEastAsia"/>
          <w:szCs w:val="21"/>
        </w:rPr>
        <w:t xml:space="preserve">, </w:t>
      </w:r>
      <w:r>
        <w:rPr>
          <w:rFonts w:ascii="Times New Roman" w:hAnsi="Times New Roman" w:eastAsiaTheme="minorEastAsia"/>
          <w:szCs w:val="21"/>
        </w:rPr>
        <w:t>14(1):612-622.</w:t>
      </w:r>
    </w:p>
    <w:p w14:paraId="4838CE42">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 xml:space="preserve">Dietzel J, Habermann IV, Hörder S, </w:t>
      </w:r>
      <w:r>
        <w:rPr>
          <w:rFonts w:hint="eastAsia" w:ascii="Times New Roman" w:hAnsi="Times New Roman" w:eastAsiaTheme="minorEastAsia"/>
          <w:szCs w:val="21"/>
        </w:rPr>
        <w:t>et al</w:t>
      </w:r>
      <w:r>
        <w:rPr>
          <w:rFonts w:ascii="Times New Roman" w:hAnsi="Times New Roman" w:eastAsiaTheme="minorEastAsia"/>
          <w:szCs w:val="21"/>
        </w:rPr>
        <w:t>. Acupuncture in Patients with Diabetic Peripheral Neuropathy-Related Complaints: A Randomized Controlled Clinical Trial</w:t>
      </w:r>
      <w:r>
        <w:rPr>
          <w:rFonts w:hint="eastAsia" w:ascii="Times New Roman" w:hAnsi="Times New Roman" w:eastAsiaTheme="minorEastAsia"/>
          <w:szCs w:val="21"/>
        </w:rPr>
        <w:t>[J]</w:t>
      </w:r>
      <w:r>
        <w:rPr>
          <w:rFonts w:ascii="Times New Roman" w:hAnsi="Times New Roman" w:eastAsiaTheme="minorEastAsia"/>
          <w:szCs w:val="21"/>
        </w:rPr>
        <w:t>. J Clin Med. 2023</w:t>
      </w:r>
      <w:r>
        <w:rPr>
          <w:rFonts w:hint="eastAsia" w:ascii="Times New Roman" w:hAnsi="Times New Roman" w:eastAsiaTheme="minorEastAsia"/>
          <w:szCs w:val="21"/>
        </w:rPr>
        <w:t xml:space="preserve">, </w:t>
      </w:r>
      <w:r>
        <w:rPr>
          <w:rFonts w:ascii="Times New Roman" w:hAnsi="Times New Roman" w:eastAsiaTheme="minorEastAsia"/>
          <w:szCs w:val="21"/>
        </w:rPr>
        <w:t>12(6):2103.</w:t>
      </w:r>
    </w:p>
    <w:p w14:paraId="464D9E3B">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 xml:space="preserve">Meyer-Hamme G, Friedemann T, Greten HJ, </w:t>
      </w:r>
      <w:r>
        <w:rPr>
          <w:rFonts w:hint="eastAsia" w:ascii="Times New Roman" w:hAnsi="Times New Roman" w:eastAsiaTheme="minorEastAsia"/>
          <w:szCs w:val="21"/>
        </w:rPr>
        <w:t>et al</w:t>
      </w:r>
      <w:r>
        <w:rPr>
          <w:rFonts w:ascii="Times New Roman" w:hAnsi="Times New Roman" w:eastAsiaTheme="minorEastAsia"/>
          <w:szCs w:val="21"/>
        </w:rPr>
        <w:t>. ACUDIN - ACUpuncture and laser acupuncture for treatment of DIabetic peripheral Neuropathy: a randomized, placebo-controlled, partially double-blinded trial</w:t>
      </w:r>
      <w:r>
        <w:rPr>
          <w:rFonts w:hint="eastAsia" w:ascii="Times New Roman" w:hAnsi="Times New Roman" w:eastAsiaTheme="minorEastAsia"/>
          <w:szCs w:val="21"/>
        </w:rPr>
        <w:t>[J]</w:t>
      </w:r>
      <w:r>
        <w:rPr>
          <w:rFonts w:ascii="Times New Roman" w:hAnsi="Times New Roman" w:eastAsiaTheme="minorEastAsia"/>
          <w:szCs w:val="21"/>
        </w:rPr>
        <w:t>. BMC Neurol. 2018</w:t>
      </w:r>
      <w:r>
        <w:rPr>
          <w:rFonts w:hint="eastAsia" w:ascii="Times New Roman" w:hAnsi="Times New Roman" w:eastAsiaTheme="minorEastAsia"/>
          <w:szCs w:val="21"/>
        </w:rPr>
        <w:t xml:space="preserve">, </w:t>
      </w:r>
      <w:r>
        <w:rPr>
          <w:rFonts w:ascii="Times New Roman" w:hAnsi="Times New Roman" w:eastAsiaTheme="minorEastAsia"/>
          <w:szCs w:val="21"/>
        </w:rPr>
        <w:t>18(1):40</w:t>
      </w:r>
      <w:r>
        <w:rPr>
          <w:rFonts w:hint="eastAsia" w:ascii="Times New Roman" w:hAnsi="Times New Roman" w:eastAsiaTheme="minorEastAsia"/>
          <w:szCs w:val="21"/>
        </w:rPr>
        <w:t>.</w:t>
      </w:r>
    </w:p>
    <w:p w14:paraId="2ABC189F">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 xml:space="preserve">Meyer-Hamme G, Friedemann T, Greten J, </w:t>
      </w:r>
      <w:r>
        <w:rPr>
          <w:rFonts w:hint="eastAsia" w:ascii="Times New Roman" w:hAnsi="Times New Roman" w:eastAsiaTheme="minorEastAsia"/>
          <w:szCs w:val="21"/>
        </w:rPr>
        <w:t>et al</w:t>
      </w:r>
      <w:r>
        <w:rPr>
          <w:rFonts w:ascii="Times New Roman" w:hAnsi="Times New Roman" w:eastAsiaTheme="minorEastAsia"/>
          <w:szCs w:val="21"/>
        </w:rPr>
        <w:t>. Electrophysiologically verified effects of acupuncture on diabetic peripheral neuropathy in type 2 diabetes: The randomized, partially double-blinded, controlled ACUDIN trial</w:t>
      </w:r>
      <w:r>
        <w:rPr>
          <w:rFonts w:hint="eastAsia" w:ascii="Times New Roman" w:hAnsi="Times New Roman" w:eastAsiaTheme="minorEastAsia"/>
          <w:szCs w:val="21"/>
        </w:rPr>
        <w:t>[J]</w:t>
      </w:r>
      <w:r>
        <w:rPr>
          <w:rFonts w:ascii="Times New Roman" w:hAnsi="Times New Roman" w:eastAsiaTheme="minorEastAsia"/>
          <w:szCs w:val="21"/>
        </w:rPr>
        <w:t>. J Diabetes. 2021</w:t>
      </w:r>
      <w:r>
        <w:rPr>
          <w:rFonts w:hint="eastAsia" w:ascii="Times New Roman" w:hAnsi="Times New Roman" w:eastAsiaTheme="minorEastAsia"/>
          <w:szCs w:val="21"/>
        </w:rPr>
        <w:t xml:space="preserve">, </w:t>
      </w:r>
      <w:r>
        <w:rPr>
          <w:rFonts w:ascii="Times New Roman" w:hAnsi="Times New Roman" w:eastAsiaTheme="minorEastAsia"/>
          <w:szCs w:val="21"/>
        </w:rPr>
        <w:t>13(6):469-481. </w:t>
      </w:r>
    </w:p>
    <w:p w14:paraId="0D0967C7">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Zhang C, Ma YX, Yan Y. Clinical effects of acupuncture for diabetic peripheral neuropathy</w:t>
      </w:r>
      <w:r>
        <w:rPr>
          <w:rFonts w:hint="eastAsia" w:ascii="Times New Roman" w:hAnsi="Times New Roman" w:eastAsiaTheme="minorEastAsia"/>
          <w:szCs w:val="21"/>
        </w:rPr>
        <w:t>[J]</w:t>
      </w:r>
      <w:r>
        <w:rPr>
          <w:rFonts w:ascii="Times New Roman" w:hAnsi="Times New Roman" w:eastAsiaTheme="minorEastAsia"/>
          <w:szCs w:val="21"/>
        </w:rPr>
        <w:t>. J Tradit Chin Med. 2010</w:t>
      </w:r>
      <w:r>
        <w:rPr>
          <w:rFonts w:hint="eastAsia" w:ascii="Times New Roman" w:hAnsi="Times New Roman" w:eastAsiaTheme="minorEastAsia"/>
          <w:szCs w:val="21"/>
        </w:rPr>
        <w:t xml:space="preserve">, </w:t>
      </w:r>
      <w:r>
        <w:rPr>
          <w:rFonts w:ascii="Times New Roman" w:hAnsi="Times New Roman" w:eastAsiaTheme="minorEastAsia"/>
          <w:szCs w:val="21"/>
        </w:rPr>
        <w:t>30(1):13-4.</w:t>
      </w:r>
    </w:p>
    <w:p w14:paraId="49BDA26A">
      <w:pPr>
        <w:pStyle w:val="36"/>
        <w:numPr>
          <w:ilvl w:val="0"/>
          <w:numId w:val="3"/>
        </w:numPr>
        <w:spacing w:line="360" w:lineRule="exact"/>
        <w:ind w:firstLineChars="0"/>
        <w:rPr>
          <w:rFonts w:ascii="Times New Roman" w:hAnsi="Times New Roman" w:eastAsiaTheme="minorEastAsia"/>
          <w:szCs w:val="21"/>
        </w:rPr>
      </w:pPr>
      <w:r>
        <w:rPr>
          <w:rFonts w:ascii="Times New Roman" w:hAnsi="Times New Roman" w:eastAsiaTheme="minorEastAsia"/>
          <w:szCs w:val="21"/>
        </w:rPr>
        <w:t>Li GY, Zhang YQ, Liu PY, et al. Clinical study on acupuncture combined with western medication for diabetic peripheral neuropathy[J].</w:t>
      </w:r>
      <w:r>
        <w:rPr>
          <w:rFonts w:hint="eastAsia" w:ascii="Times New Roman" w:hAnsi="Times New Roman" w:eastAsiaTheme="minorEastAsia"/>
          <w:szCs w:val="21"/>
        </w:rPr>
        <w:t xml:space="preserve"> </w:t>
      </w:r>
      <w:r>
        <w:rPr>
          <w:rFonts w:ascii="Times New Roman" w:hAnsi="Times New Roman" w:eastAsiaTheme="minorEastAsia"/>
          <w:szCs w:val="21"/>
        </w:rPr>
        <w:t>World Journal of Acupuncture-</w:t>
      </w:r>
      <w:r>
        <w:rPr>
          <w:rFonts w:hint="eastAsia" w:ascii="Times New Roman" w:hAnsi="Times New Roman" w:eastAsiaTheme="minorEastAsia"/>
          <w:szCs w:val="21"/>
        </w:rPr>
        <w:t xml:space="preserve"> </w:t>
      </w:r>
      <w:r>
        <w:rPr>
          <w:rFonts w:ascii="Times New Roman" w:hAnsi="Times New Roman" w:eastAsiaTheme="minorEastAsia"/>
          <w:szCs w:val="21"/>
        </w:rPr>
        <w:t>Moxibustion, 2021, 31(02):100-104.</w:t>
      </w:r>
    </w:p>
    <w:p w14:paraId="0B0C8AA9">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舒文, 冉津川, 陈炳力, 等. 针刺荥输合穴治疗2型糖尿病周围神经病变疗效观察[J]. 中国针灸, 2021, 41(08):866-870.</w:t>
      </w:r>
    </w:p>
    <w:p w14:paraId="7B303A2D">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邓秀敏, 刘世巍, 雷佳, 等. 龙虎交战针法治疗痛性糖尿病周围神经病变：随机对照研究[J]. 中国针灸, 2021, 41(01):23-26+35.</w:t>
      </w:r>
    </w:p>
    <w:p w14:paraId="0434C6D0">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韩清, 王锋, 高鹏飞, 等. 针刺联合甲钴胺穴位注射治疗老年糖尿病周围神经病变的临床观察[J]. 老年医学与保健, 2018, 24(04):442-445.</w:t>
      </w:r>
    </w:p>
    <w:p w14:paraId="77BBD3C7">
      <w:pPr>
        <w:pStyle w:val="36"/>
        <w:numPr>
          <w:ilvl w:val="0"/>
          <w:numId w:val="3"/>
        </w:numPr>
        <w:spacing w:line="360" w:lineRule="exact"/>
        <w:ind w:firstLineChars="0"/>
        <w:rPr>
          <w:rFonts w:ascii="Times New Roman" w:hAnsi="Times New Roman" w:eastAsiaTheme="minorEastAsia"/>
          <w:szCs w:val="21"/>
        </w:rPr>
      </w:pPr>
      <w:r>
        <w:rPr>
          <w:rFonts w:hint="eastAsia" w:ascii="Times New Roman" w:hAnsi="Times New Roman" w:eastAsiaTheme="minorEastAsia"/>
          <w:szCs w:val="21"/>
        </w:rPr>
        <w:t>刘亚东, 任啸, 雷芳, 等. 调理脾胃针法联合电针治疗脾肾阳虚型糖尿病周围神经病变的疗效及对神经传导功能影响[J]. 针灸临床杂志, 2022, 38(02):33-36.</w:t>
      </w:r>
    </w:p>
    <w:p w14:paraId="7BB87EA9">
      <w:pPr>
        <w:pStyle w:val="36"/>
        <w:numPr>
          <w:ilvl w:val="0"/>
          <w:numId w:val="3"/>
        </w:numPr>
        <w:spacing w:line="360" w:lineRule="exact"/>
        <w:ind w:left="442" w:hanging="442" w:firstLineChars="0"/>
        <w:rPr>
          <w:rFonts w:ascii="Times New Roman" w:hAnsi="Times New Roman" w:eastAsiaTheme="minorEastAsia"/>
          <w:szCs w:val="21"/>
        </w:rPr>
      </w:pPr>
      <w:r>
        <w:rPr>
          <w:rFonts w:hint="eastAsia" w:ascii="Times New Roman" w:hAnsi="Times New Roman" w:eastAsiaTheme="minorEastAsia"/>
          <w:szCs w:val="21"/>
        </w:rPr>
        <w:t>李永方</w:t>
      </w:r>
      <w:r>
        <w:rPr>
          <w:rFonts w:ascii="Times New Roman" w:hAnsi="Times New Roman" w:eastAsiaTheme="minorEastAsia"/>
          <w:szCs w:val="21"/>
        </w:rPr>
        <w:t xml:space="preserve">, </w:t>
      </w:r>
      <w:r>
        <w:rPr>
          <w:rFonts w:hint="eastAsia" w:ascii="Times New Roman" w:hAnsi="Times New Roman" w:eastAsiaTheme="minorEastAsia"/>
          <w:szCs w:val="21"/>
        </w:rPr>
        <w:t>郑蕙田</w:t>
      </w:r>
      <w:r>
        <w:rPr>
          <w:rFonts w:ascii="Times New Roman" w:hAnsi="Times New Roman" w:eastAsiaTheme="minorEastAsia"/>
          <w:szCs w:val="21"/>
        </w:rPr>
        <w:t xml:space="preserve">, </w:t>
      </w:r>
      <w:r>
        <w:rPr>
          <w:rFonts w:hint="eastAsia" w:ascii="Times New Roman" w:hAnsi="Times New Roman" w:eastAsiaTheme="minorEastAsia"/>
          <w:szCs w:val="21"/>
        </w:rPr>
        <w:t>康尔竹</w:t>
      </w:r>
      <w:r>
        <w:rPr>
          <w:rFonts w:ascii="Times New Roman" w:hAnsi="Times New Roman" w:eastAsiaTheme="minorEastAsia"/>
          <w:szCs w:val="21"/>
        </w:rPr>
        <w:t xml:space="preserve">. </w:t>
      </w:r>
      <w:r>
        <w:rPr>
          <w:rFonts w:hint="eastAsia" w:ascii="Times New Roman" w:hAnsi="Times New Roman" w:eastAsiaTheme="minorEastAsia"/>
          <w:szCs w:val="21"/>
        </w:rPr>
        <w:t>电针治疗糖尿病周围神经病变临床研究</w:t>
      </w:r>
      <w:r>
        <w:rPr>
          <w:rFonts w:ascii="Times New Roman" w:hAnsi="Times New Roman" w:eastAsiaTheme="minorEastAsia"/>
          <w:szCs w:val="21"/>
        </w:rPr>
        <w:t xml:space="preserve">[J]. </w:t>
      </w:r>
      <w:r>
        <w:rPr>
          <w:rFonts w:hint="eastAsia" w:ascii="Times New Roman" w:hAnsi="Times New Roman" w:eastAsiaTheme="minorEastAsia"/>
          <w:szCs w:val="21"/>
        </w:rPr>
        <w:t>中国针灸</w:t>
      </w:r>
      <w:r>
        <w:rPr>
          <w:rFonts w:ascii="Times New Roman" w:hAnsi="Times New Roman" w:eastAsiaTheme="minorEastAsia"/>
          <w:szCs w:val="21"/>
        </w:rPr>
        <w:t>, 2000, 20(S1):1-3.</w:t>
      </w:r>
    </w:p>
    <w:p w14:paraId="6FE025E2">
      <w:pPr>
        <w:pStyle w:val="36"/>
        <w:numPr>
          <w:ilvl w:val="0"/>
          <w:numId w:val="3"/>
        </w:numPr>
        <w:spacing w:line="360" w:lineRule="exact"/>
        <w:ind w:left="442" w:hanging="442" w:firstLineChars="0"/>
        <w:rPr>
          <w:rFonts w:ascii="Times New Roman" w:hAnsi="Times New Roman" w:eastAsiaTheme="minorEastAsia"/>
          <w:szCs w:val="21"/>
        </w:rPr>
      </w:pPr>
      <w:r>
        <w:rPr>
          <w:rFonts w:hint="eastAsia" w:ascii="Times New Roman" w:hAnsi="Times New Roman" w:eastAsiaTheme="minorEastAsia"/>
          <w:szCs w:val="21"/>
        </w:rPr>
        <w:t>陈跃来</w:t>
      </w:r>
      <w:r>
        <w:rPr>
          <w:rFonts w:ascii="Times New Roman" w:hAnsi="Times New Roman" w:eastAsiaTheme="minorEastAsia"/>
          <w:szCs w:val="21"/>
        </w:rPr>
        <w:t xml:space="preserve">, </w:t>
      </w:r>
      <w:r>
        <w:rPr>
          <w:rFonts w:hint="eastAsia" w:ascii="Times New Roman" w:hAnsi="Times New Roman" w:eastAsiaTheme="minorEastAsia"/>
          <w:szCs w:val="21"/>
        </w:rPr>
        <w:t>马雪梅</w:t>
      </w:r>
      <w:r>
        <w:rPr>
          <w:rFonts w:ascii="Times New Roman" w:hAnsi="Times New Roman" w:eastAsiaTheme="minorEastAsia"/>
          <w:szCs w:val="21"/>
        </w:rPr>
        <w:t xml:space="preserve">, </w:t>
      </w:r>
      <w:r>
        <w:rPr>
          <w:rFonts w:hint="eastAsia" w:ascii="Times New Roman" w:hAnsi="Times New Roman" w:eastAsiaTheme="minorEastAsia"/>
          <w:szCs w:val="21"/>
        </w:rPr>
        <w:t>侯文光</w:t>
      </w:r>
      <w:r>
        <w:rPr>
          <w:rFonts w:ascii="Times New Roman" w:hAnsi="Times New Roman" w:eastAsiaTheme="minorEastAsia"/>
          <w:szCs w:val="21"/>
        </w:rPr>
        <w:t xml:space="preserve">, </w:t>
      </w:r>
      <w:r>
        <w:rPr>
          <w:rFonts w:hint="eastAsia" w:ascii="Times New Roman" w:hAnsi="Times New Roman" w:eastAsiaTheme="minorEastAsia"/>
          <w:szCs w:val="21"/>
        </w:rPr>
        <w:t>等</w:t>
      </w:r>
      <w:r>
        <w:rPr>
          <w:rFonts w:ascii="Times New Roman" w:hAnsi="Times New Roman" w:eastAsiaTheme="minorEastAsia"/>
          <w:szCs w:val="21"/>
        </w:rPr>
        <w:t xml:space="preserve">. </w:t>
      </w:r>
      <w:r>
        <w:rPr>
          <w:rFonts w:hint="eastAsia" w:ascii="Times New Roman" w:hAnsi="Times New Roman" w:eastAsiaTheme="minorEastAsia"/>
          <w:szCs w:val="21"/>
        </w:rPr>
        <w:t>针刺透穴法对糖尿病周围神经病变神经传导速度的影响</w:t>
      </w:r>
      <w:r>
        <w:rPr>
          <w:rFonts w:ascii="Times New Roman" w:hAnsi="Times New Roman" w:eastAsiaTheme="minorEastAsia"/>
          <w:szCs w:val="21"/>
        </w:rPr>
        <w:t>:</w:t>
      </w:r>
      <w:r>
        <w:rPr>
          <w:rFonts w:hint="eastAsia" w:ascii="Times New Roman" w:hAnsi="Times New Roman" w:eastAsiaTheme="minorEastAsia"/>
          <w:szCs w:val="21"/>
        </w:rPr>
        <w:t>随机对照试验</w:t>
      </w:r>
      <w:r>
        <w:rPr>
          <w:rFonts w:ascii="Times New Roman" w:hAnsi="Times New Roman" w:eastAsiaTheme="minorEastAsia"/>
          <w:szCs w:val="21"/>
        </w:rPr>
        <w:t xml:space="preserve">[J]. </w:t>
      </w:r>
      <w:r>
        <w:rPr>
          <w:rFonts w:hint="eastAsia" w:ascii="Times New Roman" w:hAnsi="Times New Roman" w:eastAsiaTheme="minorEastAsia"/>
          <w:szCs w:val="21"/>
        </w:rPr>
        <w:t>中西医结合学报</w:t>
      </w:r>
      <w:r>
        <w:rPr>
          <w:rFonts w:ascii="Times New Roman" w:hAnsi="Times New Roman" w:eastAsiaTheme="minorEastAsia"/>
          <w:szCs w:val="21"/>
        </w:rPr>
        <w:t>, 2009, 7(03):273-275.</w:t>
      </w:r>
    </w:p>
    <w:p w14:paraId="051A3F20">
      <w:pPr>
        <w:pStyle w:val="36"/>
        <w:numPr>
          <w:ilvl w:val="0"/>
          <w:numId w:val="3"/>
        </w:numPr>
        <w:spacing w:line="360" w:lineRule="exact"/>
        <w:ind w:left="442" w:hanging="442" w:firstLineChars="0"/>
        <w:rPr>
          <w:rFonts w:ascii="Times New Roman" w:hAnsi="Times New Roman" w:eastAsiaTheme="minorEastAsia"/>
          <w:szCs w:val="21"/>
        </w:rPr>
      </w:pPr>
      <w:r>
        <w:rPr>
          <w:rFonts w:hint="eastAsia" w:ascii="Times New Roman" w:hAnsi="Times New Roman" w:eastAsiaTheme="minorEastAsia"/>
          <w:szCs w:val="21"/>
        </w:rPr>
        <w:t>赵凌艳</w:t>
      </w:r>
      <w:r>
        <w:rPr>
          <w:rFonts w:ascii="Times New Roman" w:hAnsi="Times New Roman" w:eastAsiaTheme="minorEastAsia"/>
          <w:szCs w:val="21"/>
        </w:rPr>
        <w:t xml:space="preserve">, </w:t>
      </w:r>
      <w:r>
        <w:rPr>
          <w:rFonts w:hint="eastAsia" w:ascii="Times New Roman" w:hAnsi="Times New Roman" w:eastAsiaTheme="minorEastAsia"/>
          <w:szCs w:val="21"/>
        </w:rPr>
        <w:t>陈雄</w:t>
      </w:r>
      <w:r>
        <w:rPr>
          <w:rFonts w:ascii="Times New Roman" w:hAnsi="Times New Roman" w:eastAsiaTheme="minorEastAsia"/>
          <w:szCs w:val="21"/>
        </w:rPr>
        <w:t xml:space="preserve">, </w:t>
      </w:r>
      <w:r>
        <w:rPr>
          <w:rFonts w:hint="eastAsia" w:ascii="Times New Roman" w:hAnsi="Times New Roman" w:eastAsiaTheme="minorEastAsia"/>
          <w:szCs w:val="21"/>
        </w:rPr>
        <w:t>王娜娜</w:t>
      </w:r>
      <w:r>
        <w:rPr>
          <w:rFonts w:ascii="Times New Roman" w:hAnsi="Times New Roman" w:eastAsiaTheme="minorEastAsia"/>
          <w:szCs w:val="21"/>
        </w:rPr>
        <w:t xml:space="preserve">, </w:t>
      </w:r>
      <w:r>
        <w:rPr>
          <w:rFonts w:hint="eastAsia" w:ascii="Times New Roman" w:hAnsi="Times New Roman" w:eastAsiaTheme="minorEastAsia"/>
          <w:szCs w:val="21"/>
        </w:rPr>
        <w:t>等</w:t>
      </w:r>
      <w:r>
        <w:rPr>
          <w:rFonts w:ascii="Times New Roman" w:hAnsi="Times New Roman" w:eastAsiaTheme="minorEastAsia"/>
          <w:szCs w:val="21"/>
        </w:rPr>
        <w:t xml:space="preserve">. </w:t>
      </w:r>
      <w:r>
        <w:rPr>
          <w:rFonts w:hint="eastAsia" w:ascii="Times New Roman" w:hAnsi="Times New Roman" w:eastAsiaTheme="minorEastAsia"/>
          <w:szCs w:val="21"/>
        </w:rPr>
        <w:t>电针结合药物治疗</w:t>
      </w:r>
      <w:r>
        <w:rPr>
          <w:rFonts w:ascii="Times New Roman" w:hAnsi="Times New Roman" w:eastAsiaTheme="minorEastAsia"/>
          <w:szCs w:val="21"/>
        </w:rPr>
        <w:t>2</w:t>
      </w:r>
      <w:r>
        <w:rPr>
          <w:rFonts w:hint="eastAsia" w:ascii="Times New Roman" w:hAnsi="Times New Roman" w:eastAsiaTheme="minorEastAsia"/>
          <w:szCs w:val="21"/>
        </w:rPr>
        <w:t>型糖尿病周围神经病疗效观察</w:t>
      </w:r>
      <w:r>
        <w:rPr>
          <w:rFonts w:ascii="Times New Roman" w:hAnsi="Times New Roman" w:eastAsiaTheme="minorEastAsia"/>
          <w:szCs w:val="21"/>
        </w:rPr>
        <w:t xml:space="preserve">[J]. </w:t>
      </w:r>
      <w:r>
        <w:rPr>
          <w:rFonts w:hint="eastAsia" w:ascii="Times New Roman" w:hAnsi="Times New Roman" w:eastAsiaTheme="minorEastAsia"/>
          <w:szCs w:val="21"/>
        </w:rPr>
        <w:t>上海针灸杂志</w:t>
      </w:r>
      <w:r>
        <w:rPr>
          <w:rFonts w:ascii="Times New Roman" w:hAnsi="Times New Roman" w:eastAsiaTheme="minorEastAsia"/>
          <w:szCs w:val="21"/>
        </w:rPr>
        <w:t>, 2014, 33(11):1005-1007.</w:t>
      </w:r>
    </w:p>
    <w:p w14:paraId="5AF45104">
      <w:pPr>
        <w:pStyle w:val="36"/>
        <w:numPr>
          <w:ilvl w:val="0"/>
          <w:numId w:val="3"/>
        </w:numPr>
        <w:spacing w:line="360" w:lineRule="exact"/>
        <w:ind w:left="442" w:hanging="442" w:firstLineChars="0"/>
        <w:rPr>
          <w:rStyle w:val="16"/>
          <w:rFonts w:ascii="Times New Roman" w:hAnsi="Times New Roman" w:eastAsiaTheme="minorEastAsia"/>
          <w:szCs w:val="21"/>
          <w:vertAlign w:val="baseline"/>
        </w:rPr>
      </w:pPr>
      <w:r>
        <w:rPr>
          <w:rStyle w:val="16"/>
          <w:rFonts w:hint="eastAsia" w:ascii="Times New Roman" w:hAnsi="Times New Roman" w:eastAsiaTheme="minorEastAsia"/>
          <w:szCs w:val="21"/>
          <w:vertAlign w:val="baseline"/>
        </w:rPr>
        <w:t>吴乃君</w:t>
      </w:r>
      <w:r>
        <w:rPr>
          <w:rStyle w:val="16"/>
          <w:rFonts w:ascii="Times New Roman" w:hAnsi="Times New Roman" w:eastAsiaTheme="minorEastAsia"/>
          <w:szCs w:val="21"/>
          <w:vertAlign w:val="baseline"/>
        </w:rPr>
        <w:t xml:space="preserve">, </w:t>
      </w:r>
      <w:r>
        <w:rPr>
          <w:rStyle w:val="16"/>
          <w:rFonts w:hint="eastAsia" w:ascii="Times New Roman" w:hAnsi="Times New Roman" w:eastAsiaTheme="minorEastAsia"/>
          <w:szCs w:val="21"/>
          <w:vertAlign w:val="baseline"/>
        </w:rPr>
        <w:t>刘颖</w:t>
      </w:r>
      <w:r>
        <w:rPr>
          <w:rStyle w:val="16"/>
          <w:rFonts w:ascii="Times New Roman" w:hAnsi="Times New Roman" w:eastAsiaTheme="minorEastAsia"/>
          <w:szCs w:val="21"/>
          <w:vertAlign w:val="baseline"/>
        </w:rPr>
        <w:t xml:space="preserve">, </w:t>
      </w:r>
      <w:r>
        <w:rPr>
          <w:rStyle w:val="16"/>
          <w:rFonts w:hint="eastAsia" w:ascii="Times New Roman" w:hAnsi="Times New Roman" w:eastAsiaTheme="minorEastAsia"/>
          <w:szCs w:val="21"/>
          <w:vertAlign w:val="baseline"/>
        </w:rPr>
        <w:t>魏剑芬</w:t>
      </w:r>
      <w:r>
        <w:rPr>
          <w:rStyle w:val="16"/>
          <w:rFonts w:ascii="Times New Roman" w:hAnsi="Times New Roman" w:eastAsiaTheme="minorEastAsia"/>
          <w:szCs w:val="21"/>
          <w:vertAlign w:val="baseline"/>
        </w:rPr>
        <w:t xml:space="preserve">, </w:t>
      </w:r>
      <w:r>
        <w:rPr>
          <w:rStyle w:val="16"/>
          <w:rFonts w:hint="eastAsia" w:ascii="Times New Roman" w:hAnsi="Times New Roman" w:eastAsiaTheme="minorEastAsia"/>
          <w:szCs w:val="21"/>
          <w:vertAlign w:val="baseline"/>
        </w:rPr>
        <w:t>等</w:t>
      </w:r>
      <w:r>
        <w:rPr>
          <w:rStyle w:val="16"/>
          <w:rFonts w:ascii="Times New Roman" w:hAnsi="Times New Roman" w:eastAsiaTheme="minorEastAsia"/>
          <w:szCs w:val="21"/>
          <w:vertAlign w:val="baseline"/>
        </w:rPr>
        <w:t xml:space="preserve">. </w:t>
      </w:r>
      <w:r>
        <w:rPr>
          <w:rStyle w:val="16"/>
          <w:rFonts w:hint="eastAsia" w:ascii="Times New Roman" w:hAnsi="Times New Roman" w:eastAsiaTheme="minorEastAsia"/>
          <w:szCs w:val="21"/>
          <w:vertAlign w:val="baseline"/>
        </w:rPr>
        <w:t>隔姜灸治疗糖尿病周围神经病变的疗效及对超敏</w:t>
      </w:r>
      <w:r>
        <w:rPr>
          <w:rStyle w:val="16"/>
          <w:rFonts w:ascii="Times New Roman" w:hAnsi="Times New Roman" w:eastAsiaTheme="minorEastAsia"/>
          <w:szCs w:val="21"/>
          <w:vertAlign w:val="baseline"/>
        </w:rPr>
        <w:t>C</w:t>
      </w:r>
      <w:r>
        <w:rPr>
          <w:rStyle w:val="16"/>
          <w:rFonts w:hint="eastAsia" w:ascii="Times New Roman" w:hAnsi="Times New Roman" w:eastAsiaTheme="minorEastAsia"/>
          <w:szCs w:val="21"/>
          <w:vertAlign w:val="baseline"/>
        </w:rPr>
        <w:t>反应蛋白的影响</w:t>
      </w:r>
      <w:r>
        <w:rPr>
          <w:rStyle w:val="16"/>
          <w:rFonts w:ascii="Times New Roman" w:hAnsi="Times New Roman" w:eastAsiaTheme="minorEastAsia"/>
          <w:szCs w:val="21"/>
          <w:vertAlign w:val="baseline"/>
        </w:rPr>
        <w:t xml:space="preserve">[J]. </w:t>
      </w:r>
      <w:r>
        <w:rPr>
          <w:rStyle w:val="16"/>
          <w:rFonts w:hint="eastAsia" w:ascii="Times New Roman" w:hAnsi="Times New Roman" w:eastAsiaTheme="minorEastAsia"/>
          <w:szCs w:val="21"/>
          <w:vertAlign w:val="baseline"/>
        </w:rPr>
        <w:t>现代中西医结合杂志</w:t>
      </w:r>
      <w:r>
        <w:rPr>
          <w:rStyle w:val="16"/>
          <w:rFonts w:ascii="Times New Roman" w:hAnsi="Times New Roman" w:eastAsiaTheme="minorEastAsia"/>
          <w:szCs w:val="21"/>
          <w:vertAlign w:val="baseline"/>
        </w:rPr>
        <w:t>, 2015, 24(01):24-26.</w:t>
      </w:r>
    </w:p>
    <w:p w14:paraId="69D4EE9A">
      <w:pPr>
        <w:pStyle w:val="36"/>
        <w:numPr>
          <w:ilvl w:val="0"/>
          <w:numId w:val="3"/>
        </w:numPr>
        <w:spacing w:line="360" w:lineRule="exact"/>
        <w:ind w:left="442" w:hanging="442" w:firstLineChars="0"/>
        <w:rPr>
          <w:rFonts w:ascii="Times New Roman" w:hAnsi="Times New Roman" w:eastAsiaTheme="minorEastAsia"/>
          <w:szCs w:val="21"/>
        </w:rPr>
      </w:pPr>
      <w:r>
        <w:rPr>
          <w:rFonts w:ascii="Times New Roman" w:hAnsi="Times New Roman" w:eastAsiaTheme="minorEastAsia"/>
          <w:szCs w:val="21"/>
        </w:rPr>
        <w:t>Xiong ZF, Hu L. Observation on clinical therapeutic efficacy of moxibustion combined with mecobalamin on diabetic perineuropathy and effects on patients’ blood homocysteine[J]. World Journal of Acupuncture-Moxibustion, 2014, 24(01):15-18.</w:t>
      </w:r>
    </w:p>
    <w:p w14:paraId="28D27638">
      <w:pPr>
        <w:pStyle w:val="36"/>
        <w:numPr>
          <w:ilvl w:val="0"/>
          <w:numId w:val="3"/>
        </w:numPr>
        <w:spacing w:line="360" w:lineRule="exact"/>
        <w:ind w:left="442" w:hanging="442" w:firstLineChars="0"/>
        <w:rPr>
          <w:rStyle w:val="16"/>
          <w:rFonts w:ascii="Times New Roman" w:hAnsi="Times New Roman" w:eastAsiaTheme="minorEastAsia"/>
          <w:szCs w:val="21"/>
          <w:vertAlign w:val="baseline"/>
        </w:rPr>
      </w:pPr>
      <w:r>
        <w:rPr>
          <w:rStyle w:val="16"/>
          <w:rFonts w:hint="eastAsia" w:ascii="Times New Roman" w:hAnsi="Times New Roman" w:eastAsiaTheme="minorEastAsia"/>
          <w:szCs w:val="21"/>
          <w:vertAlign w:val="baseline"/>
        </w:rPr>
        <w:t>李淑彦</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王娟</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穴位注射改善糖尿病周围神经病变疗效观察</w:t>
      </w:r>
      <w:r>
        <w:rPr>
          <w:rStyle w:val="16"/>
          <w:rFonts w:ascii="Times New Roman" w:hAnsi="Times New Roman" w:eastAsiaTheme="minorEastAsia"/>
          <w:szCs w:val="21"/>
          <w:vertAlign w:val="baseline"/>
        </w:rPr>
        <w:t>[J].</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四川中医</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ascii="Times New Roman" w:hAnsi="Times New Roman" w:eastAsiaTheme="minorEastAsia"/>
          <w:szCs w:val="21"/>
          <w:vertAlign w:val="baseline"/>
        </w:rPr>
        <w:t>2007(11):114-115.</w:t>
      </w:r>
    </w:p>
    <w:p w14:paraId="2D0E07E1">
      <w:pPr>
        <w:pStyle w:val="36"/>
        <w:numPr>
          <w:ilvl w:val="0"/>
          <w:numId w:val="3"/>
        </w:numPr>
        <w:spacing w:line="360" w:lineRule="exact"/>
        <w:ind w:left="442" w:hanging="442" w:firstLineChars="0"/>
        <w:rPr>
          <w:rStyle w:val="16"/>
          <w:rFonts w:ascii="Times New Roman" w:hAnsi="Times New Roman" w:eastAsiaTheme="minorEastAsia"/>
          <w:szCs w:val="21"/>
          <w:vertAlign w:val="baseline"/>
        </w:rPr>
      </w:pPr>
      <w:r>
        <w:rPr>
          <w:rStyle w:val="16"/>
          <w:rFonts w:hint="eastAsia" w:ascii="Times New Roman" w:hAnsi="Times New Roman" w:eastAsiaTheme="minorEastAsia"/>
          <w:szCs w:val="21"/>
          <w:vertAlign w:val="baseline"/>
        </w:rPr>
        <w:t>张涛</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徐江红</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张永建</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Fonts w:hint="eastAsia" w:ascii="Times New Roman" w:hAnsi="Times New Roman" w:eastAsiaTheme="minorEastAsia"/>
          <w:szCs w:val="21"/>
        </w:rPr>
        <w:t>等</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灯盏细辛穴位注射治疗</w:t>
      </w:r>
      <w:r>
        <w:rPr>
          <w:rStyle w:val="16"/>
          <w:rFonts w:ascii="Times New Roman" w:hAnsi="Times New Roman" w:eastAsiaTheme="minorEastAsia"/>
          <w:szCs w:val="21"/>
          <w:vertAlign w:val="baseline"/>
        </w:rPr>
        <w:t>56</w:t>
      </w:r>
      <w:r>
        <w:rPr>
          <w:rStyle w:val="16"/>
          <w:rFonts w:hint="eastAsia" w:ascii="Times New Roman" w:hAnsi="Times New Roman" w:eastAsiaTheme="minorEastAsia"/>
          <w:szCs w:val="21"/>
          <w:vertAlign w:val="baseline"/>
        </w:rPr>
        <w:t>例糖尿病周围神经病变</w:t>
      </w:r>
      <w:r>
        <w:rPr>
          <w:rStyle w:val="16"/>
          <w:rFonts w:ascii="Times New Roman" w:hAnsi="Times New Roman" w:eastAsiaTheme="minorEastAsia"/>
          <w:szCs w:val="21"/>
          <w:vertAlign w:val="baseline"/>
        </w:rPr>
        <w:t>[J].</w:t>
      </w:r>
      <w:r>
        <w:rPr>
          <w:rFonts w:ascii="Times New Roman" w:hAnsi="Times New Roman" w:eastAsiaTheme="minorEastAsia"/>
          <w:szCs w:val="21"/>
        </w:rPr>
        <w:t xml:space="preserve"> </w:t>
      </w:r>
      <w:r>
        <w:rPr>
          <w:rStyle w:val="16"/>
          <w:rFonts w:hint="eastAsia" w:ascii="Times New Roman" w:hAnsi="Times New Roman" w:eastAsiaTheme="minorEastAsia"/>
          <w:szCs w:val="21"/>
          <w:vertAlign w:val="baseline"/>
        </w:rPr>
        <w:t>广东医学</w:t>
      </w:r>
      <w:r>
        <w:rPr>
          <w:rStyle w:val="16"/>
          <w:rFonts w:ascii="Times New Roman" w:hAnsi="Times New Roman" w:eastAsiaTheme="minorEastAsia"/>
          <w:szCs w:val="21"/>
          <w:vertAlign w:val="baseline"/>
        </w:rPr>
        <w:t>,</w:t>
      </w:r>
      <w:r>
        <w:rPr>
          <w:rFonts w:ascii="Times New Roman" w:hAnsi="Times New Roman" w:eastAsiaTheme="minorEastAsia"/>
          <w:szCs w:val="21"/>
        </w:rPr>
        <w:t xml:space="preserve"> </w:t>
      </w:r>
      <w:r>
        <w:rPr>
          <w:rStyle w:val="16"/>
          <w:rFonts w:ascii="Times New Roman" w:hAnsi="Times New Roman" w:eastAsiaTheme="minorEastAsia"/>
          <w:szCs w:val="21"/>
          <w:vertAlign w:val="baseline"/>
        </w:rPr>
        <w:t>2012,</w:t>
      </w:r>
      <w:r>
        <w:rPr>
          <w:rFonts w:ascii="Times New Roman" w:hAnsi="Times New Roman" w:eastAsiaTheme="minorEastAsia"/>
          <w:szCs w:val="21"/>
        </w:rPr>
        <w:t xml:space="preserve"> </w:t>
      </w:r>
      <w:r>
        <w:rPr>
          <w:rStyle w:val="16"/>
          <w:rFonts w:ascii="Times New Roman" w:hAnsi="Times New Roman" w:eastAsiaTheme="minorEastAsia"/>
          <w:szCs w:val="21"/>
          <w:vertAlign w:val="baseline"/>
        </w:rPr>
        <w:t>33(22):3363.</w:t>
      </w:r>
    </w:p>
    <w:p w14:paraId="1D60278E">
      <w:pPr>
        <w:pStyle w:val="26"/>
        <w:spacing w:line="360" w:lineRule="exact"/>
        <w:ind w:firstLine="1680" w:firstLineChars="600"/>
        <w:rPr>
          <w:rFonts w:ascii="Times New Roman"/>
          <w:b/>
          <w:bCs/>
          <w:sz w:val="28"/>
        </w:rPr>
      </w:pPr>
    </w:p>
    <w:p w14:paraId="0E510BCC">
      <w:pPr>
        <w:pStyle w:val="26"/>
        <w:spacing w:line="360" w:lineRule="exact"/>
        <w:ind w:firstLine="1680" w:firstLineChars="600"/>
        <w:rPr>
          <w:rFonts w:ascii="Times New Roman"/>
          <w:b/>
          <w:bCs/>
          <w:sz w:val="28"/>
        </w:rPr>
      </w:pPr>
      <w:r>
        <w:rPr>
          <w:rFonts w:hint="eastAsia" w:ascii="Times New Roman"/>
          <w:b/>
          <w:bCs/>
          <w:sz w:val="28"/>
        </w:rPr>
        <w:t>————————————————</w:t>
      </w:r>
    </w:p>
    <w:sectPr>
      <w:type w:val="continuous"/>
      <w:pgSz w:w="11906" w:h="16838"/>
      <w:pgMar w:top="1440" w:right="1800" w:bottom="1440" w:left="180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B668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D5D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776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B367">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753221"/>
    </w:sdtPr>
    <w:sdtContent>
      <w:p w14:paraId="36AD247A">
        <w:pPr>
          <w:pStyle w:val="9"/>
          <w:jc w:val="center"/>
        </w:pPr>
        <w:r>
          <w:fldChar w:fldCharType="begin"/>
        </w:r>
        <w:r>
          <w:instrText xml:space="preserve">PAGE   \* MERGEFORMAT</w:instrText>
        </w:r>
        <w:r>
          <w:fldChar w:fldCharType="separate"/>
        </w:r>
        <w:r>
          <w:rPr>
            <w:lang w:val="zh-CN"/>
          </w:rPr>
          <w:t>2</w:t>
        </w:r>
        <w:r>
          <w:fldChar w:fldCharType="end"/>
        </w:r>
      </w:p>
    </w:sdtContent>
  </w:sdt>
  <w:p w14:paraId="2B5D339D">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4668361"/>
    </w:sdtPr>
    <w:sdtContent>
      <w:p w14:paraId="52D1C997">
        <w:pPr>
          <w:pStyle w:val="9"/>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552F884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7D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29F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2901">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3F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B92"/>
    <w:multiLevelType w:val="multilevel"/>
    <w:tmpl w:val="1C6F0B9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pStyle w:val="28"/>
      <w:suff w:val="nothing"/>
      <w:lvlText w:val="%1"/>
      <w:lvlJc w:val="left"/>
      <w:pPr>
        <w:ind w:left="0" w:firstLine="0"/>
      </w:pPr>
      <w:rPr>
        <w:rFonts w:hint="default" w:ascii="Times New Roman" w:hAnsi="Times New Roman"/>
        <w:b/>
        <w:i w:val="0"/>
        <w:sz w:val="21"/>
      </w:rPr>
    </w:lvl>
    <w:lvl w:ilvl="1" w:tentative="0">
      <w:start w:val="1"/>
      <w:numFmt w:val="decimal"/>
      <w:pStyle w:val="27"/>
      <w:suff w:val="nothing"/>
      <w:lvlText w:val="%1%2　"/>
      <w:lvlJc w:val="left"/>
      <w:pPr>
        <w:ind w:left="36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ZGE2OWI2OTYxZjdmYzQ4ZjgwMTkwM2E0ZTBhZTUifQ=="/>
  </w:docVars>
  <w:rsids>
    <w:rsidRoot w:val="00172A27"/>
    <w:rsid w:val="00000322"/>
    <w:rsid w:val="000031C3"/>
    <w:rsid w:val="00017648"/>
    <w:rsid w:val="00046907"/>
    <w:rsid w:val="00052BD9"/>
    <w:rsid w:val="000616C2"/>
    <w:rsid w:val="00067FBA"/>
    <w:rsid w:val="000979C6"/>
    <w:rsid w:val="000F1E56"/>
    <w:rsid w:val="000F6A70"/>
    <w:rsid w:val="000F730C"/>
    <w:rsid w:val="00106409"/>
    <w:rsid w:val="00116524"/>
    <w:rsid w:val="00122AD2"/>
    <w:rsid w:val="00131F68"/>
    <w:rsid w:val="001432DB"/>
    <w:rsid w:val="00152F46"/>
    <w:rsid w:val="00160200"/>
    <w:rsid w:val="00172A27"/>
    <w:rsid w:val="00173D91"/>
    <w:rsid w:val="001809E2"/>
    <w:rsid w:val="001B3C43"/>
    <w:rsid w:val="001C2D5A"/>
    <w:rsid w:val="001C3C13"/>
    <w:rsid w:val="001E2028"/>
    <w:rsid w:val="001F0F62"/>
    <w:rsid w:val="0021235E"/>
    <w:rsid w:val="00220B31"/>
    <w:rsid w:val="002242FF"/>
    <w:rsid w:val="00246A40"/>
    <w:rsid w:val="00251F4E"/>
    <w:rsid w:val="00257D79"/>
    <w:rsid w:val="002823EC"/>
    <w:rsid w:val="00283458"/>
    <w:rsid w:val="00295180"/>
    <w:rsid w:val="00295FA9"/>
    <w:rsid w:val="002B7025"/>
    <w:rsid w:val="002D62AA"/>
    <w:rsid w:val="002E0A18"/>
    <w:rsid w:val="002F261D"/>
    <w:rsid w:val="003131DE"/>
    <w:rsid w:val="003223DA"/>
    <w:rsid w:val="00325150"/>
    <w:rsid w:val="00334E59"/>
    <w:rsid w:val="0034351A"/>
    <w:rsid w:val="00344F9A"/>
    <w:rsid w:val="00365718"/>
    <w:rsid w:val="00373D4A"/>
    <w:rsid w:val="003A2DB8"/>
    <w:rsid w:val="003D3C42"/>
    <w:rsid w:val="00403506"/>
    <w:rsid w:val="0041495D"/>
    <w:rsid w:val="004602A5"/>
    <w:rsid w:val="0046054C"/>
    <w:rsid w:val="004724F1"/>
    <w:rsid w:val="00474FC2"/>
    <w:rsid w:val="00481623"/>
    <w:rsid w:val="004A6237"/>
    <w:rsid w:val="004B5B34"/>
    <w:rsid w:val="004F32B8"/>
    <w:rsid w:val="00506E0C"/>
    <w:rsid w:val="00521814"/>
    <w:rsid w:val="00531798"/>
    <w:rsid w:val="00537E27"/>
    <w:rsid w:val="00537F39"/>
    <w:rsid w:val="00575BF1"/>
    <w:rsid w:val="00576C6A"/>
    <w:rsid w:val="005D042A"/>
    <w:rsid w:val="005D1BFB"/>
    <w:rsid w:val="005D3873"/>
    <w:rsid w:val="005E2948"/>
    <w:rsid w:val="00602CF9"/>
    <w:rsid w:val="00631D25"/>
    <w:rsid w:val="00636FA1"/>
    <w:rsid w:val="00675F7D"/>
    <w:rsid w:val="00683F62"/>
    <w:rsid w:val="00685A92"/>
    <w:rsid w:val="00691F43"/>
    <w:rsid w:val="006C3E0B"/>
    <w:rsid w:val="006E61D8"/>
    <w:rsid w:val="00714E8D"/>
    <w:rsid w:val="007257FA"/>
    <w:rsid w:val="00733F84"/>
    <w:rsid w:val="00741ABB"/>
    <w:rsid w:val="00746772"/>
    <w:rsid w:val="007552C7"/>
    <w:rsid w:val="00762018"/>
    <w:rsid w:val="007659EA"/>
    <w:rsid w:val="00771A1A"/>
    <w:rsid w:val="00780BF8"/>
    <w:rsid w:val="00795FFE"/>
    <w:rsid w:val="007B3B7A"/>
    <w:rsid w:val="007D0BE6"/>
    <w:rsid w:val="007E4A52"/>
    <w:rsid w:val="008016F6"/>
    <w:rsid w:val="00805E95"/>
    <w:rsid w:val="0081230E"/>
    <w:rsid w:val="00830C33"/>
    <w:rsid w:val="0083311F"/>
    <w:rsid w:val="008351BC"/>
    <w:rsid w:val="0085462E"/>
    <w:rsid w:val="00863677"/>
    <w:rsid w:val="00875D97"/>
    <w:rsid w:val="008828FD"/>
    <w:rsid w:val="008902EC"/>
    <w:rsid w:val="008914D3"/>
    <w:rsid w:val="008B2FEF"/>
    <w:rsid w:val="008C223D"/>
    <w:rsid w:val="008F6EAC"/>
    <w:rsid w:val="00910308"/>
    <w:rsid w:val="009138D8"/>
    <w:rsid w:val="00935C2E"/>
    <w:rsid w:val="00973B64"/>
    <w:rsid w:val="00977399"/>
    <w:rsid w:val="009904EF"/>
    <w:rsid w:val="00990EE4"/>
    <w:rsid w:val="009B0396"/>
    <w:rsid w:val="009B49D4"/>
    <w:rsid w:val="009C4F90"/>
    <w:rsid w:val="009C5CDD"/>
    <w:rsid w:val="009D6F1F"/>
    <w:rsid w:val="009D7866"/>
    <w:rsid w:val="00A04BF9"/>
    <w:rsid w:val="00A06364"/>
    <w:rsid w:val="00A205C0"/>
    <w:rsid w:val="00A215A9"/>
    <w:rsid w:val="00A266D8"/>
    <w:rsid w:val="00A32A24"/>
    <w:rsid w:val="00A44DDF"/>
    <w:rsid w:val="00A539EB"/>
    <w:rsid w:val="00A66118"/>
    <w:rsid w:val="00A8118C"/>
    <w:rsid w:val="00A82AC5"/>
    <w:rsid w:val="00A95E7D"/>
    <w:rsid w:val="00A967B9"/>
    <w:rsid w:val="00A97A52"/>
    <w:rsid w:val="00AA3FFA"/>
    <w:rsid w:val="00AC1308"/>
    <w:rsid w:val="00AC1CA5"/>
    <w:rsid w:val="00B213C1"/>
    <w:rsid w:val="00B243C9"/>
    <w:rsid w:val="00B65EC2"/>
    <w:rsid w:val="00B872AE"/>
    <w:rsid w:val="00B9472A"/>
    <w:rsid w:val="00B95C62"/>
    <w:rsid w:val="00BA0B42"/>
    <w:rsid w:val="00BA623B"/>
    <w:rsid w:val="00BC23E8"/>
    <w:rsid w:val="00BC72E2"/>
    <w:rsid w:val="00C02352"/>
    <w:rsid w:val="00C030DB"/>
    <w:rsid w:val="00C4233E"/>
    <w:rsid w:val="00C51FC7"/>
    <w:rsid w:val="00C550B9"/>
    <w:rsid w:val="00C63B7F"/>
    <w:rsid w:val="00C717EF"/>
    <w:rsid w:val="00CA35FF"/>
    <w:rsid w:val="00CC2AAC"/>
    <w:rsid w:val="00CC3ADB"/>
    <w:rsid w:val="00CD5B4E"/>
    <w:rsid w:val="00CE3BD7"/>
    <w:rsid w:val="00CE5A5C"/>
    <w:rsid w:val="00CF4148"/>
    <w:rsid w:val="00D148D5"/>
    <w:rsid w:val="00D2411E"/>
    <w:rsid w:val="00D71057"/>
    <w:rsid w:val="00D737CB"/>
    <w:rsid w:val="00D76F82"/>
    <w:rsid w:val="00D83A73"/>
    <w:rsid w:val="00D915EF"/>
    <w:rsid w:val="00D9216F"/>
    <w:rsid w:val="00D95A9B"/>
    <w:rsid w:val="00DB6F84"/>
    <w:rsid w:val="00DC546E"/>
    <w:rsid w:val="00E02920"/>
    <w:rsid w:val="00E10DB8"/>
    <w:rsid w:val="00E141AA"/>
    <w:rsid w:val="00E17151"/>
    <w:rsid w:val="00E305C2"/>
    <w:rsid w:val="00E60225"/>
    <w:rsid w:val="00E662BA"/>
    <w:rsid w:val="00E663BC"/>
    <w:rsid w:val="00E76D69"/>
    <w:rsid w:val="00E77FFD"/>
    <w:rsid w:val="00E8045F"/>
    <w:rsid w:val="00E96C44"/>
    <w:rsid w:val="00E974AF"/>
    <w:rsid w:val="00EA621C"/>
    <w:rsid w:val="00EB1E5D"/>
    <w:rsid w:val="00EB63B2"/>
    <w:rsid w:val="00EC588C"/>
    <w:rsid w:val="00EC71CE"/>
    <w:rsid w:val="00EC7C02"/>
    <w:rsid w:val="00F00279"/>
    <w:rsid w:val="00F04A2F"/>
    <w:rsid w:val="00F42104"/>
    <w:rsid w:val="00F42936"/>
    <w:rsid w:val="00F605B1"/>
    <w:rsid w:val="00F7091E"/>
    <w:rsid w:val="00FA3AC1"/>
    <w:rsid w:val="00FD3686"/>
    <w:rsid w:val="06021ED4"/>
    <w:rsid w:val="07320597"/>
    <w:rsid w:val="08C22DF2"/>
    <w:rsid w:val="08CF37A3"/>
    <w:rsid w:val="09443F64"/>
    <w:rsid w:val="0AB9228A"/>
    <w:rsid w:val="0B675363"/>
    <w:rsid w:val="0C28011C"/>
    <w:rsid w:val="0D957F07"/>
    <w:rsid w:val="0E26592E"/>
    <w:rsid w:val="103D2827"/>
    <w:rsid w:val="13B16CE7"/>
    <w:rsid w:val="15437BB6"/>
    <w:rsid w:val="168C1346"/>
    <w:rsid w:val="16D20C83"/>
    <w:rsid w:val="181124BE"/>
    <w:rsid w:val="1D1374A1"/>
    <w:rsid w:val="1D343BC7"/>
    <w:rsid w:val="1FE36B65"/>
    <w:rsid w:val="213602F4"/>
    <w:rsid w:val="21AB4CE3"/>
    <w:rsid w:val="21C422DC"/>
    <w:rsid w:val="23190BEB"/>
    <w:rsid w:val="249C2826"/>
    <w:rsid w:val="27C3196B"/>
    <w:rsid w:val="29F00D73"/>
    <w:rsid w:val="2A226BAF"/>
    <w:rsid w:val="2C2C7CCF"/>
    <w:rsid w:val="2C4B4E35"/>
    <w:rsid w:val="2D96712F"/>
    <w:rsid w:val="2F676E17"/>
    <w:rsid w:val="304765B2"/>
    <w:rsid w:val="3193762B"/>
    <w:rsid w:val="35990C86"/>
    <w:rsid w:val="35BB7962"/>
    <w:rsid w:val="3733316B"/>
    <w:rsid w:val="39550348"/>
    <w:rsid w:val="3B125E8D"/>
    <w:rsid w:val="3C5552CA"/>
    <w:rsid w:val="3DF75B5F"/>
    <w:rsid w:val="3E3B04FC"/>
    <w:rsid w:val="3E9F7609"/>
    <w:rsid w:val="3EE91446"/>
    <w:rsid w:val="42CC0BBD"/>
    <w:rsid w:val="45BC09DB"/>
    <w:rsid w:val="463D4A27"/>
    <w:rsid w:val="47F16AD6"/>
    <w:rsid w:val="4CD81191"/>
    <w:rsid w:val="4F3C2FF7"/>
    <w:rsid w:val="50C70EBF"/>
    <w:rsid w:val="51AC2F62"/>
    <w:rsid w:val="527177B3"/>
    <w:rsid w:val="52CF278E"/>
    <w:rsid w:val="53BA56D3"/>
    <w:rsid w:val="5753194D"/>
    <w:rsid w:val="575444A8"/>
    <w:rsid w:val="577E64AD"/>
    <w:rsid w:val="580A1AEF"/>
    <w:rsid w:val="5A3652E4"/>
    <w:rsid w:val="5BC9282C"/>
    <w:rsid w:val="5C0C0A03"/>
    <w:rsid w:val="5C827313"/>
    <w:rsid w:val="5CDD25E1"/>
    <w:rsid w:val="5E145FE7"/>
    <w:rsid w:val="5F510C68"/>
    <w:rsid w:val="60417991"/>
    <w:rsid w:val="635B3CF7"/>
    <w:rsid w:val="643527C2"/>
    <w:rsid w:val="65A25465"/>
    <w:rsid w:val="66120C8F"/>
    <w:rsid w:val="668A0FC1"/>
    <w:rsid w:val="67912173"/>
    <w:rsid w:val="694503FF"/>
    <w:rsid w:val="6A8C040F"/>
    <w:rsid w:val="6EAA4FEF"/>
    <w:rsid w:val="6EE170A2"/>
    <w:rsid w:val="6F997ED1"/>
    <w:rsid w:val="6FEF477C"/>
    <w:rsid w:val="7035633A"/>
    <w:rsid w:val="72B03039"/>
    <w:rsid w:val="779233DF"/>
    <w:rsid w:val="798D0F14"/>
    <w:rsid w:val="7B7C76C9"/>
    <w:rsid w:val="7B9D2CDE"/>
    <w:rsid w:val="7BBD2440"/>
    <w:rsid w:val="7DBC2D12"/>
    <w:rsid w:val="7E6F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5"/>
    <w:basedOn w:val="1"/>
    <w:next w:val="1"/>
    <w:link w:val="34"/>
    <w:autoRedefine/>
    <w:unhideWhenUsed/>
    <w:qFormat/>
    <w:uiPriority w:val="0"/>
    <w:pPr>
      <w:spacing w:beforeAutospacing="1" w:afterAutospacing="1"/>
      <w:jc w:val="left"/>
      <w:outlineLvl w:val="4"/>
    </w:pPr>
    <w:rPr>
      <w:rFonts w:hint="eastAsia" w:ascii="宋体" w:hAnsi="宋体"/>
      <w:b/>
      <w:kern w:val="0"/>
      <w:sz w:val="20"/>
      <w:szCs w:val="20"/>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unhideWhenUsed/>
    <w:qFormat/>
    <w:uiPriority w:val="99"/>
    <w:pPr>
      <w:jc w:val="left"/>
    </w:pPr>
  </w:style>
  <w:style w:type="paragraph" w:styleId="6">
    <w:name w:val="Date"/>
    <w:basedOn w:val="1"/>
    <w:next w:val="1"/>
    <w:link w:val="20"/>
    <w:unhideWhenUsed/>
    <w:qFormat/>
    <w:uiPriority w:val="99"/>
    <w:pPr>
      <w:ind w:left="100" w:leftChars="2500"/>
    </w:pPr>
  </w:style>
  <w:style w:type="paragraph" w:styleId="7">
    <w:name w:val="endnote text"/>
    <w:basedOn w:val="1"/>
    <w:link w:val="35"/>
    <w:qFormat/>
    <w:uiPriority w:val="0"/>
    <w:pPr>
      <w:snapToGrid w:val="0"/>
      <w:jc w:val="left"/>
    </w:pPr>
    <w:rPr>
      <w:szCs w:val="21"/>
    </w:r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annotation subject"/>
    <w:basedOn w:val="5"/>
    <w:next w:val="5"/>
    <w:link w:val="38"/>
    <w:semiHidden/>
    <w:unhideWhenUsed/>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endnote reference"/>
    <w:basedOn w:val="15"/>
    <w:qFormat/>
    <w:uiPriority w:val="0"/>
    <w:rPr>
      <w:vertAlign w:val="superscript"/>
    </w:rPr>
  </w:style>
  <w:style w:type="character" w:styleId="17">
    <w:name w:val="Emphasis"/>
    <w:basedOn w:val="15"/>
    <w:qFormat/>
    <w:uiPriority w:val="20"/>
    <w:rPr>
      <w:i/>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日期 字符"/>
    <w:basedOn w:val="15"/>
    <w:link w:val="6"/>
    <w:semiHidden/>
    <w:qFormat/>
    <w:uiPriority w:val="99"/>
  </w:style>
  <w:style w:type="character" w:customStyle="1" w:styleId="21">
    <w:name w:val="批注框文本 字符"/>
    <w:link w:val="8"/>
    <w:semiHidden/>
    <w:qFormat/>
    <w:uiPriority w:val="99"/>
    <w:rPr>
      <w:kern w:val="2"/>
      <w:sz w:val="18"/>
      <w:szCs w:val="18"/>
    </w:rPr>
  </w:style>
  <w:style w:type="character" w:customStyle="1" w:styleId="22">
    <w:name w:val="页脚 字符"/>
    <w:link w:val="9"/>
    <w:qFormat/>
    <w:uiPriority w:val="99"/>
    <w:rPr>
      <w:kern w:val="2"/>
      <w:sz w:val="18"/>
      <w:szCs w:val="18"/>
    </w:rPr>
  </w:style>
  <w:style w:type="character" w:customStyle="1" w:styleId="23">
    <w:name w:val="页眉 字符"/>
    <w:link w:val="10"/>
    <w:semiHidden/>
    <w:qFormat/>
    <w:uiPriority w:val="99"/>
    <w:rPr>
      <w:kern w:val="2"/>
      <w:sz w:val="18"/>
      <w:szCs w:val="18"/>
    </w:rPr>
  </w:style>
  <w:style w:type="paragraph" w:customStyle="1" w:styleId="24">
    <w:name w:val="列表段落1"/>
    <w:basedOn w:val="1"/>
    <w:qFormat/>
    <w:uiPriority w:val="34"/>
    <w:pPr>
      <w:ind w:firstLine="420" w:firstLineChars="200"/>
    </w:pPr>
  </w:style>
  <w:style w:type="paragraph" w:customStyle="1" w:styleId="25">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26">
    <w:name w:val="段"/>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章标题"/>
    <w:next w:val="26"/>
    <w:link w:val="32"/>
    <w:qFormat/>
    <w:uiPriority w:val="0"/>
    <w:pPr>
      <w:numPr>
        <w:ilvl w:val="1"/>
        <w:numId w:val="1"/>
      </w:numPr>
      <w:spacing w:beforeLines="50" w:afterLines="50"/>
      <w:jc w:val="both"/>
      <w:outlineLvl w:val="1"/>
    </w:pPr>
    <w:rPr>
      <w:rFonts w:ascii="黑体" w:hAnsi="Calibri" w:eastAsia="黑体" w:cs="Times New Roman"/>
      <w:kern w:val="2"/>
      <w:sz w:val="21"/>
      <w:szCs w:val="22"/>
      <w:lang w:val="en-US" w:eastAsia="zh-CN" w:bidi="ar-SA"/>
    </w:rPr>
  </w:style>
  <w:style w:type="paragraph" w:customStyle="1" w:styleId="2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一级条标题"/>
    <w:next w:val="26"/>
    <w:autoRedefine/>
    <w:qFormat/>
    <w:uiPriority w:val="0"/>
    <w:pPr>
      <w:outlineLvl w:val="2"/>
    </w:pPr>
    <w:rPr>
      <w:rFonts w:eastAsia="黑体" w:asciiTheme="minorHAnsi" w:hAnsiTheme="minorHAnsi" w:cstheme="minorBidi"/>
      <w:kern w:val="2"/>
      <w:sz w:val="21"/>
      <w:szCs w:val="22"/>
      <w:lang w:val="en-US" w:eastAsia="zh-CN" w:bidi="ar-SA"/>
    </w:rPr>
  </w:style>
  <w:style w:type="paragraph" w:customStyle="1" w:styleId="30">
    <w:name w:val="二级条标题"/>
    <w:basedOn w:val="29"/>
    <w:next w:val="26"/>
    <w:autoRedefine/>
    <w:qFormat/>
    <w:uiPriority w:val="0"/>
    <w:pPr>
      <w:tabs>
        <w:tab w:val="left" w:pos="435"/>
      </w:tabs>
      <w:ind w:left="435" w:hanging="435"/>
      <w:outlineLvl w:val="3"/>
    </w:pPr>
  </w:style>
  <w:style w:type="character" w:customStyle="1" w:styleId="31">
    <w:name w:val="段 Char"/>
    <w:basedOn w:val="15"/>
    <w:link w:val="26"/>
    <w:autoRedefine/>
    <w:qFormat/>
    <w:uiPriority w:val="0"/>
    <w:rPr>
      <w:rFonts w:ascii="宋体"/>
      <w:sz w:val="21"/>
    </w:rPr>
  </w:style>
  <w:style w:type="character" w:customStyle="1" w:styleId="32">
    <w:name w:val="章标题 Char"/>
    <w:link w:val="27"/>
    <w:autoRedefine/>
    <w:qFormat/>
    <w:uiPriority w:val="0"/>
    <w:rPr>
      <w:rFonts w:ascii="黑体" w:hAnsi="Calibri" w:eastAsia="黑体"/>
      <w:kern w:val="2"/>
      <w:sz w:val="21"/>
      <w:szCs w:val="22"/>
    </w:rPr>
  </w:style>
  <w:style w:type="paragraph" w:customStyle="1" w:styleId="33">
    <w:name w:val="注：（正文）"/>
    <w:basedOn w:val="1"/>
    <w:next w:val="26"/>
    <w:autoRedefine/>
    <w:qFormat/>
    <w:uiPriority w:val="0"/>
    <w:pPr>
      <w:tabs>
        <w:tab w:val="left" w:pos="1080"/>
      </w:tabs>
      <w:autoSpaceDE w:val="0"/>
      <w:autoSpaceDN w:val="0"/>
      <w:ind w:left="726" w:hanging="363"/>
    </w:pPr>
    <w:rPr>
      <w:rFonts w:ascii="宋体" w:hAnsi="Times New Roman"/>
      <w:kern w:val="0"/>
      <w:sz w:val="18"/>
      <w:szCs w:val="18"/>
    </w:rPr>
  </w:style>
  <w:style w:type="character" w:customStyle="1" w:styleId="34">
    <w:name w:val="标题 5 字符"/>
    <w:basedOn w:val="15"/>
    <w:link w:val="4"/>
    <w:qFormat/>
    <w:uiPriority w:val="0"/>
    <w:rPr>
      <w:rFonts w:ascii="宋体" w:hAnsi="宋体"/>
      <w:b/>
    </w:rPr>
  </w:style>
  <w:style w:type="character" w:customStyle="1" w:styleId="35">
    <w:name w:val="尾注文本 字符"/>
    <w:basedOn w:val="15"/>
    <w:link w:val="7"/>
    <w:qFormat/>
    <w:uiPriority w:val="0"/>
    <w:rPr>
      <w:rFonts w:ascii="Calibri" w:hAnsi="Calibri"/>
      <w:kern w:val="2"/>
      <w:sz w:val="21"/>
      <w:szCs w:val="21"/>
    </w:rPr>
  </w:style>
  <w:style w:type="paragraph" w:styleId="36">
    <w:name w:val="List Paragraph"/>
    <w:basedOn w:val="1"/>
    <w:unhideWhenUsed/>
    <w:qFormat/>
    <w:uiPriority w:val="99"/>
    <w:pPr>
      <w:ind w:firstLine="420" w:firstLineChars="200"/>
    </w:pPr>
  </w:style>
  <w:style w:type="character" w:customStyle="1" w:styleId="37">
    <w:name w:val="批注文字 字符"/>
    <w:basedOn w:val="15"/>
    <w:link w:val="5"/>
    <w:qFormat/>
    <w:uiPriority w:val="99"/>
    <w:rPr>
      <w:rFonts w:ascii="Calibri" w:hAnsi="Calibri"/>
      <w:kern w:val="2"/>
      <w:sz w:val="21"/>
      <w:szCs w:val="22"/>
    </w:rPr>
  </w:style>
  <w:style w:type="character" w:customStyle="1" w:styleId="38">
    <w:name w:val="批注主题 字符"/>
    <w:basedOn w:val="37"/>
    <w:link w:val="12"/>
    <w:semiHidden/>
    <w:qFormat/>
    <w:uiPriority w:val="99"/>
    <w:rPr>
      <w:rFonts w:ascii="Calibri" w:hAnsi="Calibri"/>
      <w:b/>
      <w:bCs/>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character" w:customStyle="1" w:styleId="40">
    <w:name w:val="标题 1 字符"/>
    <w:basedOn w:val="15"/>
    <w:link w:val="2"/>
    <w:qFormat/>
    <w:uiPriority w:val="9"/>
    <w:rPr>
      <w:rFonts w:ascii="Calibri" w:hAnsi="Calibri"/>
      <w:b/>
      <w:bCs/>
      <w:kern w:val="44"/>
      <w:sz w:val="44"/>
      <w:szCs w:val="44"/>
    </w:rPr>
  </w:style>
  <w:style w:type="paragraph" w:customStyle="1" w:styleId="4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F651A-493D-4128-BABA-B941D0ED489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4590</Words>
  <Characters>6852</Characters>
  <Lines>59</Lines>
  <Paragraphs>16</Paragraphs>
  <TotalTime>22</TotalTime>
  <ScaleCrop>false</ScaleCrop>
  <LinksUpToDate>false</LinksUpToDate>
  <CharactersWithSpaces>7359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2025-03-29T10:36:00Z</dcterms:created>
  <dc:creator>cnsas</dc:creator>
  <cp:lastModifiedBy>beiling</cp:lastModifiedBy>
  <cp:lastPrinted>2023-08-02T06:17:00Z</cp:lastPrinted>
  <dcterms:modified xsi:type="dcterms:W3CDTF">2025-03-31T03:19:46Z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D863CF58EE2D47F4A50559DAA52BA10D_13</vt:lpwstr>
  </property>
  <property fmtid="{D5CDD505-2E9C-101B-9397-08002B2CF9AE}" pid="4" name="KSOTemplateDocerSaveRecord">
    <vt:lpwstr>eyJoZGlkIjoiMTAwZWUxYjk5NDg1MTUzMDllYTI2NmYzNWUzNDI4MDUiLCJ1c2VySWQiOiI0NTQwMjAyMTkifQ==</vt:lpwstr>
  </property>
</Properties>
</file>